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黑体" w:hAnsi="黑体" w:eastAsia="黑体" w:cs="黑体"/>
          <w:bCs/>
          <w:sz w:val="32"/>
          <w:szCs w:val="28"/>
        </w:rPr>
      </w:pPr>
      <w:bookmarkStart w:id="10" w:name="_GoBack"/>
      <w:bookmarkEnd w:id="10"/>
    </w:p>
    <w:p>
      <w:pPr>
        <w:spacing w:line="560" w:lineRule="exact"/>
        <w:jc w:val="center"/>
        <w:rPr>
          <w:rFonts w:ascii="Times New Roman" w:hAnsi="Times New Roman" w:eastAsia="方正小标宋_GBK" w:cs="Times New Roman"/>
          <w:bCs/>
          <w:sz w:val="38"/>
          <w:szCs w:val="38"/>
        </w:rPr>
      </w:pPr>
      <w:r>
        <w:rPr>
          <w:rFonts w:ascii="Times New Roman" w:hAnsi="Times New Roman" w:eastAsia="方正小标宋_GBK" w:cs="Times New Roman"/>
          <w:bCs/>
          <w:sz w:val="38"/>
          <w:szCs w:val="38"/>
        </w:rPr>
        <w:t>国家生态文明建设示范</w:t>
      </w:r>
      <w:r>
        <w:rPr>
          <w:rFonts w:hint="eastAsia" w:ascii="Times New Roman" w:hAnsi="Times New Roman" w:eastAsia="方正小标宋_GBK" w:cs="Times New Roman"/>
          <w:bCs/>
          <w:sz w:val="38"/>
          <w:szCs w:val="38"/>
        </w:rPr>
        <w:t>区</w:t>
      </w:r>
      <w:r>
        <w:rPr>
          <w:rFonts w:ascii="Times New Roman" w:hAnsi="Times New Roman" w:eastAsia="方正小标宋_GBK" w:cs="Times New Roman"/>
          <w:bCs/>
          <w:sz w:val="38"/>
          <w:szCs w:val="38"/>
        </w:rPr>
        <w:t>建设指标</w:t>
      </w:r>
    </w:p>
    <w:p>
      <w:pPr>
        <w:adjustRightInd w:val="0"/>
        <w:snapToGrid w:val="0"/>
        <w:spacing w:beforeLines="80"/>
        <w:jc w:val="center"/>
        <w:rPr>
          <w:rFonts w:ascii="楷体_GB2312" w:hAnsi="Times New Roman" w:eastAsia="楷体_GB2312" w:cs="Times New Roman"/>
          <w:bCs/>
          <w:sz w:val="32"/>
          <w:szCs w:val="32"/>
        </w:rPr>
      </w:pPr>
      <w:r>
        <w:rPr>
          <w:rFonts w:hint="eastAsia" w:ascii="楷体_GB2312" w:hAnsi="Times New Roman" w:eastAsia="楷体_GB2312" w:cs="Times New Roman"/>
          <w:bCs/>
          <w:sz w:val="32"/>
          <w:szCs w:val="32"/>
        </w:rPr>
        <w:t>（修 订 版）</w:t>
      </w:r>
    </w:p>
    <w:p>
      <w:pPr>
        <w:adjustRightInd w:val="0"/>
        <w:snapToGrid w:val="0"/>
        <w:spacing w:line="300" w:lineRule="auto"/>
        <w:jc w:val="left"/>
        <w:rPr>
          <w:rFonts w:ascii="黑体" w:hAnsi="黑体" w:eastAsia="黑体" w:cs="黑体"/>
          <w:bCs/>
          <w:sz w:val="32"/>
          <w:szCs w:val="28"/>
        </w:rPr>
      </w:pPr>
    </w:p>
    <w:tbl>
      <w:tblPr>
        <w:tblStyle w:val="7"/>
        <w:tblW w:w="575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91"/>
        <w:gridCol w:w="759"/>
        <w:gridCol w:w="518"/>
        <w:gridCol w:w="3640"/>
        <w:gridCol w:w="849"/>
        <w:gridCol w:w="2063"/>
        <w:gridCol w:w="1141"/>
        <w:gridCol w:w="6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35" w:hRule="atLeast"/>
          <w:tblHeader/>
          <w:jc w:val="center"/>
        </w:trPr>
        <w:tc>
          <w:tcPr>
            <w:tcW w:w="290" w:type="pct"/>
            <w:vMerge w:val="restart"/>
            <w:vAlign w:val="center"/>
          </w:tcPr>
          <w:p>
            <w:pPr>
              <w:adjustRightInd w:val="0"/>
              <w:snapToGrid w:val="0"/>
              <w:jc w:val="center"/>
              <w:rPr>
                <w:rFonts w:ascii="黑体" w:hAnsi="黑体" w:eastAsia="黑体" w:cs="Times New Roman"/>
                <w:color w:val="000000"/>
                <w:sz w:val="20"/>
                <w:szCs w:val="20"/>
              </w:rPr>
            </w:pPr>
            <w:bookmarkStart w:id="0" w:name="_Hlk14251637"/>
            <w:r>
              <w:rPr>
                <w:rFonts w:ascii="黑体" w:hAnsi="黑体" w:eastAsia="黑体" w:cs="Times New Roman"/>
                <w:color w:val="000000"/>
                <w:sz w:val="20"/>
                <w:szCs w:val="20"/>
              </w:rPr>
              <w:t>领域</w:t>
            </w:r>
          </w:p>
        </w:tc>
        <w:tc>
          <w:tcPr>
            <w:tcW w:w="372" w:type="pct"/>
            <w:vMerge w:val="restart"/>
            <w:vAlign w:val="center"/>
          </w:tcPr>
          <w:p>
            <w:pPr>
              <w:adjustRightInd w:val="0"/>
              <w:snapToGrid w:val="0"/>
              <w:jc w:val="center"/>
              <w:rPr>
                <w:rFonts w:ascii="黑体" w:hAnsi="黑体" w:eastAsia="黑体" w:cs="Times New Roman"/>
                <w:color w:val="000000"/>
                <w:sz w:val="20"/>
                <w:szCs w:val="20"/>
              </w:rPr>
            </w:pPr>
            <w:r>
              <w:rPr>
                <w:rFonts w:ascii="黑体" w:hAnsi="黑体" w:eastAsia="黑体" w:cs="Times New Roman"/>
                <w:color w:val="000000"/>
                <w:sz w:val="20"/>
                <w:szCs w:val="20"/>
              </w:rPr>
              <w:t>任务</w:t>
            </w:r>
          </w:p>
        </w:tc>
        <w:tc>
          <w:tcPr>
            <w:tcW w:w="254" w:type="pct"/>
            <w:vMerge w:val="restart"/>
            <w:vAlign w:val="center"/>
          </w:tcPr>
          <w:p>
            <w:pPr>
              <w:adjustRightInd w:val="0"/>
              <w:snapToGrid w:val="0"/>
              <w:jc w:val="center"/>
              <w:rPr>
                <w:rFonts w:ascii="黑体" w:hAnsi="黑体" w:eastAsia="黑体" w:cs="Times New Roman"/>
                <w:color w:val="000000"/>
                <w:sz w:val="20"/>
                <w:szCs w:val="20"/>
              </w:rPr>
            </w:pPr>
            <w:r>
              <w:rPr>
                <w:rFonts w:ascii="黑体" w:hAnsi="黑体" w:eastAsia="黑体" w:cs="Times New Roman"/>
                <w:color w:val="000000"/>
                <w:sz w:val="20"/>
                <w:szCs w:val="20"/>
              </w:rPr>
              <w:t>序号</w:t>
            </w:r>
          </w:p>
        </w:tc>
        <w:tc>
          <w:tcPr>
            <w:tcW w:w="1784" w:type="pct"/>
            <w:vMerge w:val="restart"/>
            <w:vAlign w:val="center"/>
          </w:tcPr>
          <w:p>
            <w:pPr>
              <w:adjustRightInd w:val="0"/>
              <w:snapToGrid w:val="0"/>
              <w:jc w:val="center"/>
              <w:rPr>
                <w:rFonts w:ascii="黑体" w:hAnsi="黑体" w:eastAsia="黑体" w:cs="Times New Roman"/>
                <w:color w:val="000000"/>
                <w:sz w:val="20"/>
                <w:szCs w:val="20"/>
              </w:rPr>
            </w:pPr>
            <w:r>
              <w:rPr>
                <w:rFonts w:ascii="黑体" w:hAnsi="黑体" w:eastAsia="黑体" w:cs="Times New Roman"/>
                <w:color w:val="000000"/>
                <w:sz w:val="20"/>
                <w:szCs w:val="20"/>
              </w:rPr>
              <w:t>指标名称</w:t>
            </w:r>
          </w:p>
        </w:tc>
        <w:tc>
          <w:tcPr>
            <w:tcW w:w="416" w:type="pct"/>
            <w:vMerge w:val="restart"/>
            <w:vAlign w:val="center"/>
          </w:tcPr>
          <w:p>
            <w:pPr>
              <w:adjustRightInd w:val="0"/>
              <w:snapToGrid w:val="0"/>
              <w:jc w:val="center"/>
              <w:rPr>
                <w:rFonts w:ascii="黑体" w:hAnsi="黑体" w:eastAsia="黑体" w:cs="Times New Roman"/>
                <w:color w:val="000000"/>
                <w:sz w:val="20"/>
                <w:szCs w:val="20"/>
              </w:rPr>
            </w:pPr>
            <w:r>
              <w:rPr>
                <w:rFonts w:ascii="黑体" w:hAnsi="黑体" w:eastAsia="黑体" w:cs="Times New Roman"/>
                <w:color w:val="000000"/>
                <w:sz w:val="20"/>
                <w:szCs w:val="20"/>
              </w:rPr>
              <w:t>单位</w:t>
            </w:r>
          </w:p>
        </w:tc>
        <w:tc>
          <w:tcPr>
            <w:tcW w:w="1011" w:type="pct"/>
            <w:vMerge w:val="restart"/>
            <w:vAlign w:val="center"/>
          </w:tcPr>
          <w:p>
            <w:pPr>
              <w:adjustRightInd w:val="0"/>
              <w:snapToGrid w:val="0"/>
              <w:jc w:val="center"/>
              <w:rPr>
                <w:rFonts w:ascii="黑体" w:hAnsi="黑体" w:eastAsia="黑体" w:cs="Times New Roman"/>
                <w:color w:val="000000"/>
                <w:sz w:val="20"/>
                <w:szCs w:val="20"/>
              </w:rPr>
            </w:pPr>
            <w:r>
              <w:rPr>
                <w:rFonts w:ascii="黑体" w:hAnsi="黑体" w:eastAsia="黑体" w:cs="Times New Roman"/>
                <w:color w:val="000000"/>
                <w:sz w:val="20"/>
                <w:szCs w:val="20"/>
              </w:rPr>
              <w:t>指标值</w:t>
            </w:r>
          </w:p>
        </w:tc>
        <w:tc>
          <w:tcPr>
            <w:tcW w:w="559" w:type="pct"/>
            <w:vMerge w:val="restart"/>
            <w:vAlign w:val="center"/>
          </w:tcPr>
          <w:p>
            <w:pPr>
              <w:adjustRightInd w:val="0"/>
              <w:snapToGrid w:val="0"/>
              <w:jc w:val="center"/>
              <w:rPr>
                <w:rFonts w:ascii="黑体" w:hAnsi="黑体" w:eastAsia="黑体" w:cs="Times New Roman"/>
                <w:color w:val="000000"/>
                <w:sz w:val="20"/>
                <w:szCs w:val="20"/>
              </w:rPr>
            </w:pPr>
            <w:r>
              <w:rPr>
                <w:rFonts w:ascii="黑体" w:hAnsi="黑体" w:eastAsia="黑体" w:cs="Times New Roman"/>
                <w:color w:val="000000"/>
                <w:sz w:val="20"/>
                <w:szCs w:val="20"/>
              </w:rPr>
              <w:t>指标属性</w:t>
            </w:r>
          </w:p>
        </w:tc>
        <w:tc>
          <w:tcPr>
            <w:tcW w:w="314" w:type="pct"/>
            <w:vMerge w:val="restart"/>
            <w:vAlign w:val="center"/>
          </w:tcPr>
          <w:p>
            <w:pPr>
              <w:adjustRightInd w:val="0"/>
              <w:snapToGrid w:val="0"/>
              <w:jc w:val="center"/>
              <w:rPr>
                <w:rFonts w:ascii="黑体" w:hAnsi="黑体" w:eastAsia="黑体" w:cs="Times New Roman"/>
                <w:color w:val="000000"/>
                <w:sz w:val="20"/>
                <w:szCs w:val="20"/>
              </w:rPr>
            </w:pPr>
            <w:r>
              <w:rPr>
                <w:rFonts w:ascii="黑体" w:hAnsi="黑体" w:eastAsia="黑体" w:cs="Times New Roman"/>
                <w:color w:val="000000"/>
                <w:sz w:val="20"/>
                <w:szCs w:val="20"/>
              </w:rPr>
              <w:t>适用</w:t>
            </w:r>
          </w:p>
          <w:p>
            <w:pPr>
              <w:adjustRightInd w:val="0"/>
              <w:snapToGrid w:val="0"/>
              <w:jc w:val="center"/>
              <w:rPr>
                <w:rFonts w:ascii="黑体" w:hAnsi="黑体" w:eastAsia="黑体" w:cs="Times New Roman"/>
                <w:color w:val="000000"/>
                <w:sz w:val="20"/>
                <w:szCs w:val="20"/>
              </w:rPr>
            </w:pPr>
            <w:r>
              <w:rPr>
                <w:rFonts w:ascii="黑体" w:hAnsi="黑体" w:eastAsia="黑体" w:cs="Times New Roman"/>
                <w:color w:val="000000"/>
                <w:sz w:val="20"/>
                <w:szCs w:val="20"/>
              </w:rPr>
              <w:t>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9" w:hRule="atLeast"/>
          <w:tblHeader/>
          <w:jc w:val="center"/>
        </w:trPr>
        <w:tc>
          <w:tcPr>
            <w:tcW w:w="290"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372"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254"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1784"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416"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1011"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559"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314"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7" w:hRule="atLeast"/>
          <w:jc w:val="center"/>
        </w:trPr>
        <w:tc>
          <w:tcPr>
            <w:tcW w:w="290"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制度</w:t>
            </w:r>
          </w:p>
        </w:tc>
        <w:tc>
          <w:tcPr>
            <w:tcW w:w="372"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（一）</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目标责任体系与制度建设</w:t>
            </w: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生态文明建设规划</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制定实施</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83"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党委政府对生态文明建设重大目标任务部署情况</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有效开展</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7"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生态文明建设工作占党政实绩考核的比例</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≥20</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4</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河长制</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全面实施</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5</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bookmarkStart w:id="1" w:name="_Hlk6664189"/>
            <w:r>
              <w:rPr>
                <w:rFonts w:cs="Times New Roman" w:asciiTheme="majorEastAsia" w:hAnsiTheme="majorEastAsia" w:eastAsiaTheme="majorEastAsia"/>
                <w:color w:val="000000"/>
                <w:sz w:val="20"/>
                <w:szCs w:val="20"/>
              </w:rPr>
              <w:t>生态环境信息公开率</w:t>
            </w:r>
            <w:bookmarkEnd w:id="1"/>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100</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6</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依法开展规划环境影响评价</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市：100</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县：开展</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市：约束性</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县：参考性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832" w:hRule="atLeast"/>
          <w:jc w:val="center"/>
        </w:trPr>
        <w:tc>
          <w:tcPr>
            <w:tcW w:w="290"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安全</w:t>
            </w:r>
          </w:p>
        </w:tc>
        <w:tc>
          <w:tcPr>
            <w:tcW w:w="372" w:type="pct"/>
            <w:vMerge w:val="restar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（二）</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生态环境质量改善</w:t>
            </w: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7</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环境空气质量</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优良天数比例</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PM</w:t>
            </w:r>
            <w:r>
              <w:rPr>
                <w:rFonts w:cs="Times New Roman" w:asciiTheme="majorEastAsia" w:hAnsiTheme="majorEastAsia" w:eastAsiaTheme="majorEastAsia"/>
                <w:color w:val="000000"/>
                <w:sz w:val="20"/>
                <w:szCs w:val="20"/>
                <w:vertAlign w:val="subscript"/>
              </w:rPr>
              <w:t>2.5</w:t>
            </w:r>
            <w:r>
              <w:rPr>
                <w:rFonts w:cs="Times New Roman" w:asciiTheme="majorEastAsia" w:hAnsiTheme="majorEastAsia" w:eastAsiaTheme="majorEastAsia"/>
                <w:color w:val="000000"/>
                <w:sz w:val="20"/>
                <w:szCs w:val="20"/>
              </w:rPr>
              <w:t>浓度下降幅度</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pacing w:val="-4"/>
                <w:sz w:val="20"/>
                <w:szCs w:val="20"/>
              </w:rPr>
            </w:pPr>
            <w:bookmarkStart w:id="2" w:name="_Hlk12201246"/>
            <w:bookmarkStart w:id="3" w:name="_Hlk6234793"/>
            <w:r>
              <w:rPr>
                <w:rFonts w:cs="Times New Roman" w:asciiTheme="majorEastAsia" w:hAnsiTheme="majorEastAsia" w:eastAsiaTheme="majorEastAsia"/>
                <w:color w:val="000000"/>
                <w:spacing w:val="-4"/>
                <w:sz w:val="20"/>
                <w:szCs w:val="20"/>
              </w:rPr>
              <w:t>完成上级规定的考核任务；保持稳定或持续改善</w:t>
            </w:r>
            <w:bookmarkEnd w:id="2"/>
            <w:bookmarkEnd w:id="3"/>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028"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8</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水环境质量</w:t>
            </w:r>
          </w:p>
          <w:p>
            <w:pPr>
              <w:adjustRightInd w:val="0"/>
              <w:snapToGrid w:val="0"/>
              <w:ind w:firstLine="192" w:firstLineChars="100"/>
              <w:jc w:val="left"/>
              <w:rPr>
                <w:rFonts w:cs="Times New Roman" w:asciiTheme="majorEastAsia" w:hAnsiTheme="majorEastAsia" w:eastAsiaTheme="majorEastAsia"/>
                <w:color w:val="000000"/>
                <w:spacing w:val="-4"/>
                <w:sz w:val="20"/>
                <w:szCs w:val="20"/>
              </w:rPr>
            </w:pPr>
            <w:r>
              <w:rPr>
                <w:rFonts w:cs="Times New Roman" w:asciiTheme="majorEastAsia" w:hAnsiTheme="majorEastAsia" w:eastAsiaTheme="majorEastAsia"/>
                <w:color w:val="000000"/>
                <w:spacing w:val="-4"/>
                <w:sz w:val="20"/>
                <w:szCs w:val="20"/>
              </w:rPr>
              <w:t>水质达到或优于Ⅲ类比例提高幅度</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劣V类水体比例下降幅度</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黑臭水体消除比例</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pacing w:val="-4"/>
                <w:sz w:val="20"/>
                <w:szCs w:val="20"/>
              </w:rPr>
            </w:pPr>
            <w:bookmarkStart w:id="4" w:name="_Hlk6575930"/>
            <w:r>
              <w:rPr>
                <w:rFonts w:cs="Times New Roman" w:asciiTheme="majorEastAsia" w:hAnsiTheme="majorEastAsia" w:eastAsiaTheme="majorEastAsia"/>
                <w:color w:val="000000"/>
                <w:spacing w:val="-4"/>
                <w:sz w:val="20"/>
                <w:szCs w:val="20"/>
              </w:rPr>
              <w:t>完成上级规定的考核任务；保持稳定或持续改善</w:t>
            </w:r>
            <w:bookmarkEnd w:id="4"/>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9</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pacing w:val="-6"/>
                <w:sz w:val="20"/>
                <w:szCs w:val="20"/>
              </w:rPr>
            </w:pPr>
            <w:r>
              <w:rPr>
                <w:rFonts w:cs="Times New Roman" w:asciiTheme="majorEastAsia" w:hAnsiTheme="majorEastAsia" w:eastAsiaTheme="majorEastAsia"/>
                <w:color w:val="000000"/>
                <w:spacing w:val="-6"/>
                <w:sz w:val="20"/>
                <w:szCs w:val="20"/>
              </w:rPr>
              <w:t>近岸海域水质优良（一、二类）比例</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pacing w:val="-4"/>
                <w:sz w:val="20"/>
                <w:szCs w:val="20"/>
              </w:rPr>
            </w:pPr>
            <w:r>
              <w:rPr>
                <w:rFonts w:cs="Times New Roman" w:asciiTheme="majorEastAsia" w:hAnsiTheme="majorEastAsia" w:eastAsiaTheme="majorEastAsia"/>
                <w:color w:val="000000"/>
                <w:spacing w:val="-4"/>
                <w:sz w:val="20"/>
                <w:szCs w:val="20"/>
              </w:rPr>
              <w:t>完成上级规定的考核任务；保持稳定或持续改善</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022"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372" w:type="pct"/>
            <w:vMerge w:val="restar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（三）</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生态系统保护</w:t>
            </w: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10</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themeColor="text1"/>
                <w:sz w:val="20"/>
                <w:szCs w:val="20"/>
              </w:rPr>
            </w:pPr>
            <w:r>
              <w:rPr>
                <w:rFonts w:cs="Times New Roman" w:asciiTheme="majorEastAsia" w:hAnsiTheme="majorEastAsia" w:eastAsiaTheme="majorEastAsia"/>
                <w:color w:val="000000" w:themeColor="text1"/>
                <w:sz w:val="20"/>
                <w:szCs w:val="20"/>
              </w:rPr>
              <w:t>生态环境状况指数</w:t>
            </w:r>
          </w:p>
          <w:p>
            <w:pPr>
              <w:adjustRightInd w:val="0"/>
              <w:snapToGrid w:val="0"/>
              <w:ind w:firstLine="200" w:firstLineChars="100"/>
              <w:jc w:val="left"/>
              <w:rPr>
                <w:rFonts w:cs="Times New Roman" w:asciiTheme="majorEastAsia" w:hAnsiTheme="majorEastAsia" w:eastAsiaTheme="majorEastAsia"/>
                <w:color w:val="000000" w:themeColor="text1"/>
                <w:sz w:val="20"/>
                <w:szCs w:val="20"/>
              </w:rPr>
            </w:pPr>
            <w:r>
              <w:rPr>
                <w:rFonts w:cs="Times New Roman" w:asciiTheme="majorEastAsia" w:hAnsiTheme="majorEastAsia" w:eastAsiaTheme="majorEastAsia"/>
                <w:color w:val="000000" w:themeColor="text1"/>
                <w:sz w:val="20"/>
                <w:szCs w:val="20"/>
              </w:rPr>
              <w:t>干旱半干旱地区</w:t>
            </w:r>
          </w:p>
          <w:p>
            <w:pPr>
              <w:adjustRightInd w:val="0"/>
              <w:snapToGrid w:val="0"/>
              <w:ind w:firstLine="200" w:firstLineChars="100"/>
              <w:jc w:val="left"/>
              <w:rPr>
                <w:rFonts w:cs="Times New Roman" w:asciiTheme="majorEastAsia" w:hAnsiTheme="majorEastAsia" w:eastAsiaTheme="majorEastAsia"/>
                <w:color w:val="000000" w:themeColor="text1"/>
                <w:sz w:val="20"/>
                <w:szCs w:val="20"/>
              </w:rPr>
            </w:pPr>
            <w:r>
              <w:rPr>
                <w:rFonts w:cs="Times New Roman" w:asciiTheme="majorEastAsia" w:hAnsiTheme="majorEastAsia" w:eastAsiaTheme="majorEastAsia"/>
                <w:color w:val="000000" w:themeColor="text1"/>
                <w:sz w:val="20"/>
                <w:szCs w:val="20"/>
              </w:rPr>
              <w:t>半湿润地区</w:t>
            </w:r>
          </w:p>
          <w:p>
            <w:pPr>
              <w:adjustRightInd w:val="0"/>
              <w:snapToGrid w:val="0"/>
              <w:ind w:firstLine="200" w:firstLineChars="100"/>
              <w:jc w:val="left"/>
              <w:rPr>
                <w:rFonts w:cs="Times New Roman" w:asciiTheme="majorEastAsia" w:hAnsiTheme="majorEastAsia" w:eastAsiaTheme="majorEastAsia"/>
                <w:color w:val="000000" w:themeColor="text1"/>
                <w:sz w:val="20"/>
                <w:szCs w:val="20"/>
              </w:rPr>
            </w:pPr>
            <w:r>
              <w:rPr>
                <w:rFonts w:cs="Times New Roman" w:asciiTheme="majorEastAsia" w:hAnsiTheme="majorEastAsia" w:eastAsiaTheme="majorEastAsia"/>
                <w:color w:val="000000" w:themeColor="text1"/>
                <w:sz w:val="20"/>
                <w:szCs w:val="20"/>
              </w:rPr>
              <w:t>湿润地区</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themeColor="text1"/>
                <w:sz w:val="20"/>
                <w:szCs w:val="20"/>
              </w:rPr>
            </w:pPr>
            <w:r>
              <w:rPr>
                <w:rFonts w:hint="eastAsia" w:cs="Times New Roman" w:asciiTheme="majorEastAsia" w:hAnsiTheme="majorEastAsia" w:eastAsiaTheme="majorEastAsia"/>
                <w:color w:val="000000" w:themeColor="text1"/>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themeColor="text1"/>
                <w:sz w:val="20"/>
                <w:szCs w:val="20"/>
              </w:rPr>
            </w:pPr>
          </w:p>
          <w:p>
            <w:pPr>
              <w:adjustRightInd w:val="0"/>
              <w:snapToGrid w:val="0"/>
              <w:jc w:val="center"/>
              <w:rPr>
                <w:rFonts w:cs="Times New Roman" w:asciiTheme="majorEastAsia" w:hAnsiTheme="majorEastAsia" w:eastAsiaTheme="majorEastAsia"/>
                <w:color w:val="000000" w:themeColor="text1"/>
                <w:sz w:val="20"/>
                <w:szCs w:val="20"/>
              </w:rPr>
            </w:pPr>
            <w:r>
              <w:rPr>
                <w:rFonts w:cs="Times New Roman" w:asciiTheme="majorEastAsia" w:hAnsiTheme="majorEastAsia" w:eastAsiaTheme="majorEastAsia"/>
                <w:color w:val="000000" w:themeColor="text1"/>
                <w:sz w:val="20"/>
                <w:szCs w:val="20"/>
              </w:rPr>
              <w:t>≥35</w:t>
            </w:r>
          </w:p>
          <w:p>
            <w:pPr>
              <w:adjustRightInd w:val="0"/>
              <w:snapToGrid w:val="0"/>
              <w:jc w:val="center"/>
              <w:rPr>
                <w:rFonts w:cs="Times New Roman" w:asciiTheme="majorEastAsia" w:hAnsiTheme="majorEastAsia" w:eastAsiaTheme="majorEastAsia"/>
                <w:color w:val="000000" w:themeColor="text1"/>
                <w:sz w:val="20"/>
                <w:szCs w:val="20"/>
              </w:rPr>
            </w:pPr>
            <w:r>
              <w:rPr>
                <w:rFonts w:cs="Times New Roman" w:asciiTheme="majorEastAsia" w:hAnsiTheme="majorEastAsia" w:eastAsiaTheme="majorEastAsia"/>
                <w:color w:val="000000" w:themeColor="text1"/>
                <w:sz w:val="20"/>
                <w:szCs w:val="20"/>
              </w:rPr>
              <w:t>≥55</w:t>
            </w:r>
          </w:p>
          <w:p>
            <w:pPr>
              <w:adjustRightInd w:val="0"/>
              <w:snapToGrid w:val="0"/>
              <w:jc w:val="center"/>
              <w:rPr>
                <w:rFonts w:cs="Times New Roman" w:asciiTheme="majorEastAsia" w:hAnsiTheme="majorEastAsia" w:eastAsiaTheme="majorEastAsia"/>
                <w:color w:val="000000" w:themeColor="text1"/>
                <w:sz w:val="20"/>
                <w:szCs w:val="20"/>
              </w:rPr>
            </w:pPr>
            <w:r>
              <w:rPr>
                <w:rFonts w:cs="Times New Roman" w:asciiTheme="majorEastAsia" w:hAnsiTheme="majorEastAsia" w:eastAsiaTheme="majorEastAsia"/>
                <w:color w:val="000000" w:themeColor="text1"/>
                <w:sz w:val="20"/>
                <w:szCs w:val="20"/>
              </w:rPr>
              <w:t>≥60</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504"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11</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林草覆盖率</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山区</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丘陵地区</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平原地区</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干旱半干旱地区</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青藏高原地区</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≥60</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≥40</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≥18</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≥35</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≥70</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290"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372" w:type="pct"/>
            <w:vMerge w:val="continue"/>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12</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生物多样性保护</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国家重点保护野生动植物保护率</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外来物种入侵</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特有性或指示性水生物种保持率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≥95</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不明显</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不降低</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13</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海岸生态修复</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自然岸线修复长度</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滨海湿地修复面积</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公里</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公顷</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完成上级管控目标</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25" w:hRule="atLeast"/>
          <w:jc w:val="center"/>
        </w:trPr>
        <w:tc>
          <w:tcPr>
            <w:tcW w:w="0" w:type="auto"/>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安全</w:t>
            </w:r>
          </w:p>
        </w:tc>
        <w:tc>
          <w:tcPr>
            <w:tcW w:w="372" w:type="pct"/>
            <w:vMerge w:val="restar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（四）</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生态环境风险防范</w:t>
            </w:r>
          </w:p>
        </w:tc>
        <w:tc>
          <w:tcPr>
            <w:tcW w:w="254" w:type="pct"/>
            <w:shd w:val="clear" w:color="auto" w:fill="auto"/>
            <w:vAlign w:val="center"/>
          </w:tcPr>
          <w:p>
            <w:pPr>
              <w:adjustRightInd w:val="0"/>
              <w:snapToGrid w:val="0"/>
              <w:jc w:val="center"/>
              <w:rPr>
                <w:rFonts w:cs="Times New Roman" w:asciiTheme="majorEastAsia" w:hAnsiTheme="majorEastAsia" w:eastAsiaTheme="majorEastAsia"/>
                <w:color w:val="000000"/>
                <w:spacing w:val="-6"/>
                <w:sz w:val="20"/>
                <w:szCs w:val="20"/>
              </w:rPr>
            </w:pPr>
            <w:r>
              <w:rPr>
                <w:rFonts w:cs="Times New Roman" w:asciiTheme="majorEastAsia" w:hAnsiTheme="majorEastAsia" w:eastAsiaTheme="majorEastAsia"/>
                <w:color w:val="000000"/>
                <w:spacing w:val="-6"/>
                <w:sz w:val="20"/>
                <w:szCs w:val="20"/>
              </w:rPr>
              <w:t>14</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pacing w:val="-6"/>
                <w:sz w:val="20"/>
                <w:szCs w:val="20"/>
              </w:rPr>
            </w:pPr>
            <w:r>
              <w:rPr>
                <w:rFonts w:cs="Times New Roman" w:asciiTheme="majorEastAsia" w:hAnsiTheme="majorEastAsia" w:eastAsiaTheme="majorEastAsia"/>
                <w:color w:val="000000"/>
                <w:spacing w:val="-6"/>
                <w:sz w:val="20"/>
                <w:szCs w:val="20"/>
              </w:rPr>
              <w:t>危险废物利用处置率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100</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adjustRightInd w:val="0"/>
              <w:snapToGrid w:val="0"/>
              <w:jc w:val="center"/>
              <w:rPr>
                <w:rFonts w:cs="Times New Roman" w:asciiTheme="majorEastAsia" w:hAnsiTheme="majorEastAsia" w:eastAsiaTheme="majorEastAsia"/>
                <w:color w:val="000000"/>
                <w:spacing w:val="-6"/>
                <w:sz w:val="20"/>
                <w:szCs w:val="20"/>
              </w:rPr>
            </w:pPr>
            <w:r>
              <w:rPr>
                <w:rFonts w:cs="Times New Roman" w:asciiTheme="majorEastAsia" w:hAnsiTheme="majorEastAsia" w:eastAsiaTheme="majorEastAsia"/>
                <w:color w:val="000000"/>
                <w:spacing w:val="-6"/>
                <w:sz w:val="20"/>
                <w:szCs w:val="20"/>
              </w:rPr>
              <w:t>15</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pacing w:val="-6"/>
                <w:sz w:val="20"/>
                <w:szCs w:val="20"/>
              </w:rPr>
            </w:pPr>
            <w:r>
              <w:rPr>
                <w:rFonts w:hint="eastAsia" w:cs="Times New Roman" w:asciiTheme="majorEastAsia" w:hAnsiTheme="majorEastAsia" w:eastAsiaTheme="majorEastAsia"/>
                <w:color w:val="000000"/>
                <w:spacing w:val="-6"/>
                <w:sz w:val="20"/>
                <w:szCs w:val="20"/>
              </w:rPr>
              <w:t>建设用地土壤污染风险管控和修复名录制度</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pacing w:val="-6"/>
                <w:sz w:val="20"/>
                <w:szCs w:val="20"/>
              </w:rPr>
            </w:pPr>
            <w:r>
              <w:rPr>
                <w:rFonts w:hint="eastAsia" w:cs="Times New Roman" w:asciiTheme="majorEastAsia" w:hAnsiTheme="majorEastAsia" w:eastAsiaTheme="majorEastAsia"/>
                <w:color w:val="000000"/>
                <w:spacing w:val="-6"/>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pacing w:val="-6"/>
                <w:sz w:val="20"/>
                <w:szCs w:val="20"/>
              </w:rPr>
            </w:pPr>
            <w:r>
              <w:rPr>
                <w:rFonts w:hint="eastAsia" w:cs="Times New Roman" w:asciiTheme="majorEastAsia" w:hAnsiTheme="majorEastAsia" w:eastAsiaTheme="majorEastAsia"/>
                <w:color w:val="000000"/>
                <w:spacing w:val="-6"/>
                <w:sz w:val="20"/>
                <w:szCs w:val="20"/>
              </w:rPr>
              <w:t>建立</w:t>
            </w:r>
          </w:p>
        </w:tc>
        <w:tc>
          <w:tcPr>
            <w:tcW w:w="559" w:type="pct"/>
            <w:shd w:val="clear" w:color="auto" w:fill="auto"/>
            <w:vAlign w:val="center"/>
          </w:tcPr>
          <w:p>
            <w:pPr>
              <w:adjustRightInd w:val="0"/>
              <w:snapToGrid w:val="0"/>
              <w:ind w:firstLine="188" w:firstLineChars="100"/>
              <w:jc w:val="left"/>
              <w:rPr>
                <w:rFonts w:cs="Times New Roman" w:asciiTheme="majorEastAsia" w:hAnsiTheme="majorEastAsia" w:eastAsiaTheme="majorEastAsia"/>
                <w:color w:val="000000"/>
                <w:spacing w:val="-6"/>
                <w:sz w:val="20"/>
                <w:szCs w:val="20"/>
              </w:rPr>
            </w:pPr>
            <w:r>
              <w:rPr>
                <w:rFonts w:cs="Times New Roman" w:asciiTheme="majorEastAsia" w:hAnsiTheme="majorEastAsia" w:eastAsiaTheme="majorEastAsia"/>
                <w:color w:val="000000"/>
                <w:spacing w:val="-6"/>
                <w:sz w:val="20"/>
                <w:szCs w:val="20"/>
              </w:rPr>
              <w:t>参考性</w:t>
            </w:r>
          </w:p>
        </w:tc>
        <w:tc>
          <w:tcPr>
            <w:tcW w:w="314" w:type="pct"/>
            <w:shd w:val="clear" w:color="auto" w:fill="auto"/>
            <w:vAlign w:val="center"/>
          </w:tcPr>
          <w:p>
            <w:pPr>
              <w:adjustRightInd w:val="0"/>
              <w:snapToGrid w:val="0"/>
              <w:ind w:firstLine="188" w:firstLineChars="100"/>
              <w:jc w:val="left"/>
              <w:rPr>
                <w:rFonts w:cs="Times New Roman" w:asciiTheme="majorEastAsia" w:hAnsiTheme="majorEastAsia" w:eastAsiaTheme="majorEastAsia"/>
                <w:color w:val="000000"/>
                <w:spacing w:val="-6"/>
                <w:sz w:val="20"/>
                <w:szCs w:val="20"/>
              </w:rPr>
            </w:pPr>
            <w:r>
              <w:rPr>
                <w:rFonts w:cs="Times New Roman" w:asciiTheme="majorEastAsia" w:hAnsiTheme="majorEastAsia" w:eastAsiaTheme="majorEastAsia"/>
                <w:color w:val="000000"/>
                <w:spacing w:val="-6"/>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16</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pacing w:val="-6"/>
                <w:sz w:val="20"/>
                <w:szCs w:val="20"/>
              </w:rPr>
            </w:pPr>
            <w:r>
              <w:rPr>
                <w:rFonts w:cs="Times New Roman" w:asciiTheme="majorEastAsia" w:hAnsiTheme="majorEastAsia" w:eastAsiaTheme="majorEastAsia"/>
                <w:color w:val="000000"/>
                <w:spacing w:val="-6"/>
                <w:sz w:val="20"/>
                <w:szCs w:val="20"/>
              </w:rPr>
              <w:t>突发生态环境事件应急管理机制</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建立</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290"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空间</w:t>
            </w:r>
          </w:p>
        </w:tc>
        <w:tc>
          <w:tcPr>
            <w:tcW w:w="372" w:type="pct"/>
            <w:vMerge w:val="restar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（五）</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空间格局优化</w:t>
            </w: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17</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自然生态空间</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生态保护红线</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自然保护地</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lang w:val="zh-CN"/>
              </w:rPr>
              <w:t>面积不减少，性质不改变，功能</w:t>
            </w:r>
            <w:r>
              <w:rPr>
                <w:rFonts w:cs="Times New Roman" w:asciiTheme="majorEastAsia" w:hAnsiTheme="majorEastAsia" w:eastAsiaTheme="majorEastAsia"/>
                <w:color w:val="000000"/>
                <w:sz w:val="20"/>
                <w:szCs w:val="20"/>
              </w:rPr>
              <w:t>不降低</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18</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自然岸线保有率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pacing w:val="-4"/>
                <w:sz w:val="20"/>
                <w:szCs w:val="20"/>
              </w:rPr>
            </w:pPr>
            <w:r>
              <w:rPr>
                <w:rFonts w:cs="Times New Roman" w:asciiTheme="majorEastAsia" w:hAnsiTheme="majorEastAsia" w:eastAsiaTheme="majorEastAsia"/>
                <w:color w:val="000000"/>
                <w:spacing w:val="-4"/>
                <w:sz w:val="20"/>
                <w:szCs w:val="20"/>
              </w:rPr>
              <w:t>完成上级管控目标</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19</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河湖岸线保护率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pacing w:val="-4"/>
                <w:sz w:val="20"/>
                <w:szCs w:val="20"/>
              </w:rPr>
            </w:pPr>
            <w:r>
              <w:rPr>
                <w:rFonts w:cs="Times New Roman" w:asciiTheme="majorEastAsia" w:hAnsiTheme="majorEastAsia" w:eastAsiaTheme="majorEastAsia"/>
                <w:color w:val="000000"/>
                <w:spacing w:val="-4"/>
                <w:sz w:val="20"/>
                <w:szCs w:val="20"/>
              </w:rPr>
              <w:t>完成上级管控目标</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25" w:hRule="atLeast"/>
          <w:jc w:val="center"/>
        </w:trPr>
        <w:tc>
          <w:tcPr>
            <w:tcW w:w="290"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经济</w:t>
            </w:r>
          </w:p>
        </w:tc>
        <w:tc>
          <w:tcPr>
            <w:tcW w:w="372" w:type="pct"/>
            <w:vMerge w:val="restar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（六）</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资源节约与利用</w:t>
            </w: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20</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单位地区生产总值能耗</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吨标准煤/万元</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pacing w:val="-12"/>
                <w:sz w:val="20"/>
                <w:szCs w:val="20"/>
              </w:rPr>
            </w:pPr>
            <w:bookmarkStart w:id="5" w:name="_Hlk6576077"/>
            <w:r>
              <w:rPr>
                <w:rFonts w:cs="Times New Roman" w:asciiTheme="majorEastAsia" w:hAnsiTheme="majorEastAsia" w:eastAsiaTheme="majorEastAsia"/>
                <w:color w:val="000000"/>
                <w:spacing w:val="-10"/>
                <w:sz w:val="20"/>
                <w:szCs w:val="20"/>
              </w:rPr>
              <w:t>完成上级规定的目标任务</w:t>
            </w:r>
            <w:bookmarkEnd w:id="5"/>
            <w:r>
              <w:rPr>
                <w:rFonts w:cs="Times New Roman" w:asciiTheme="majorEastAsia" w:hAnsiTheme="majorEastAsia" w:eastAsiaTheme="majorEastAsia"/>
                <w:color w:val="000000"/>
                <w:spacing w:val="-10"/>
                <w:sz w:val="20"/>
                <w:szCs w:val="20"/>
              </w:rPr>
              <w:t>；保持稳定或持续改善</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21</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单位地区生产总值用水量</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立方米/万元</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pacing w:val="-10"/>
                <w:sz w:val="20"/>
                <w:szCs w:val="20"/>
              </w:rPr>
              <w:t>完成上级规定的目标任务</w:t>
            </w:r>
            <w:r>
              <w:rPr>
                <w:rFonts w:cs="Times New Roman" w:asciiTheme="majorEastAsia" w:hAnsiTheme="majorEastAsia" w:eastAsiaTheme="majorEastAsia"/>
                <w:color w:val="000000"/>
                <w:sz w:val="20"/>
                <w:szCs w:val="20"/>
              </w:rPr>
              <w:t>；</w:t>
            </w:r>
            <w:r>
              <w:rPr>
                <w:rFonts w:cs="Times New Roman" w:asciiTheme="majorEastAsia" w:hAnsiTheme="majorEastAsia" w:eastAsiaTheme="majorEastAsia"/>
                <w:color w:val="000000"/>
                <w:spacing w:val="-10"/>
                <w:sz w:val="20"/>
                <w:szCs w:val="20"/>
              </w:rPr>
              <w:t>保持稳定或持续改善</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22</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单位国内生产总值建设用地使用面积下降率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≥4.5</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23</w:t>
            </w:r>
          </w:p>
        </w:tc>
        <w:tc>
          <w:tcPr>
            <w:tcW w:w="1784" w:type="pct"/>
            <w:shd w:val="clear" w:color="auto" w:fill="auto"/>
            <w:vAlign w:val="center"/>
          </w:tcPr>
          <w:p>
            <w:pPr>
              <w:adjustRightInd w:val="0"/>
              <w:snapToGrid w:val="0"/>
              <w:jc w:val="left"/>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单位地区生产总值二氧化碳排放</w:t>
            </w:r>
          </w:p>
        </w:tc>
        <w:tc>
          <w:tcPr>
            <w:tcW w:w="416"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吨/万元</w:t>
            </w:r>
          </w:p>
        </w:tc>
        <w:tc>
          <w:tcPr>
            <w:tcW w:w="1011" w:type="pct"/>
            <w:shd w:val="clear" w:color="auto" w:fill="auto"/>
            <w:vAlign w:val="center"/>
          </w:tcPr>
          <w:p>
            <w:pPr>
              <w:adjustRightInd w:val="0"/>
              <w:snapToGrid w:val="0"/>
              <w:jc w:val="center"/>
              <w:rPr>
                <w:rFonts w:cs="Times New Roman" w:asciiTheme="majorEastAsia" w:hAnsiTheme="majorEastAsia" w:eastAsiaTheme="majorEastAsia"/>
                <w:spacing w:val="-4"/>
                <w:sz w:val="20"/>
                <w:szCs w:val="20"/>
              </w:rPr>
            </w:pPr>
            <w:r>
              <w:rPr>
                <w:rFonts w:cs="Times New Roman" w:asciiTheme="majorEastAsia" w:hAnsiTheme="majorEastAsia" w:eastAsiaTheme="majorEastAsia"/>
                <w:sz w:val="20"/>
                <w:szCs w:val="20"/>
              </w:rPr>
              <w:t>完成上级管控目标；</w:t>
            </w:r>
            <w:r>
              <w:rPr>
                <w:rFonts w:cs="Times New Roman" w:asciiTheme="majorEastAsia" w:hAnsiTheme="majorEastAsia" w:eastAsiaTheme="majorEastAsia"/>
                <w:spacing w:val="-10"/>
                <w:sz w:val="20"/>
                <w:szCs w:val="20"/>
              </w:rPr>
              <w:t>保持稳定或持续改善</w:t>
            </w:r>
          </w:p>
        </w:tc>
        <w:tc>
          <w:tcPr>
            <w:tcW w:w="559"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24</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应当实施强制性清洁生产企业通过审核的比例</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pacing w:val="-4"/>
                <w:sz w:val="20"/>
                <w:szCs w:val="20"/>
              </w:rPr>
            </w:pPr>
            <w:r>
              <w:rPr>
                <w:rFonts w:cs="Times New Roman" w:asciiTheme="majorEastAsia" w:hAnsiTheme="majorEastAsia" w:eastAsiaTheme="majorEastAsia"/>
                <w:color w:val="000000"/>
                <w:spacing w:val="-4"/>
                <w:sz w:val="20"/>
                <w:szCs w:val="20"/>
              </w:rPr>
              <w:t>完成年度审核计划</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25</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hint="eastAsia" w:cs="Times New Roman" w:asciiTheme="majorEastAsia" w:hAnsiTheme="majorEastAsia" w:eastAsiaTheme="majorEastAsia"/>
                <w:color w:val="000000"/>
                <w:sz w:val="20"/>
                <w:szCs w:val="20"/>
              </w:rPr>
              <w:t>三大粮食作物化肥农药利用率</w:t>
            </w:r>
          </w:p>
          <w:p>
            <w:pPr>
              <w:adjustRightInd w:val="0"/>
              <w:snapToGrid w:val="0"/>
              <w:jc w:val="left"/>
              <w:rPr>
                <w:rFonts w:cs="Times New Roman" w:asciiTheme="majorEastAsia" w:hAnsiTheme="majorEastAsia" w:eastAsiaTheme="majorEastAsia"/>
                <w:color w:val="000000"/>
                <w:sz w:val="20"/>
                <w:szCs w:val="20"/>
              </w:rPr>
            </w:pPr>
            <w:r>
              <w:rPr>
                <w:rFonts w:hint="eastAsia" w:cs="Times New Roman" w:asciiTheme="majorEastAsia" w:hAnsiTheme="majorEastAsia" w:eastAsiaTheme="majorEastAsia"/>
                <w:color w:val="000000"/>
                <w:sz w:val="20"/>
                <w:szCs w:val="20"/>
              </w:rPr>
              <w:t>化肥利用率</w:t>
            </w:r>
          </w:p>
          <w:p>
            <w:pPr>
              <w:adjustRightInd w:val="0"/>
              <w:snapToGrid w:val="0"/>
              <w:jc w:val="left"/>
              <w:rPr>
                <w:rFonts w:cs="Times New Roman" w:asciiTheme="majorEastAsia" w:hAnsiTheme="majorEastAsia" w:eastAsiaTheme="majorEastAsia"/>
                <w:sz w:val="20"/>
                <w:szCs w:val="20"/>
              </w:rPr>
            </w:pPr>
            <w:r>
              <w:rPr>
                <w:rFonts w:hint="eastAsia" w:cs="Times New Roman" w:asciiTheme="majorEastAsia" w:hAnsiTheme="majorEastAsia" w:eastAsiaTheme="majorEastAsia"/>
                <w:color w:val="000000"/>
                <w:sz w:val="20"/>
                <w:szCs w:val="20"/>
              </w:rPr>
              <w:t>农药利用率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spacing w:val="-4"/>
                <w:sz w:val="20"/>
                <w:szCs w:val="20"/>
              </w:rPr>
            </w:pPr>
            <w:r>
              <w:rPr>
                <w:rFonts w:hint="eastAsia" w:cs="Times New Roman" w:asciiTheme="majorEastAsia" w:hAnsiTheme="majorEastAsia" w:eastAsiaTheme="majorEastAsia"/>
                <w:sz w:val="20"/>
                <w:szCs w:val="20"/>
              </w:rPr>
              <w:t>≥43</w:t>
            </w:r>
          </w:p>
        </w:tc>
        <w:tc>
          <w:tcPr>
            <w:tcW w:w="559"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pacing w:val="-6"/>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pacing w:val="-6"/>
                <w:sz w:val="20"/>
                <w:szCs w:val="20"/>
              </w:rPr>
              <w:t>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372" w:type="pct"/>
            <w:vMerge w:val="restar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（七）</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产业循环发展</w:t>
            </w: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26</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bookmarkStart w:id="6" w:name="_Hlk6665061"/>
            <w:r>
              <w:rPr>
                <w:rFonts w:cs="Times New Roman" w:asciiTheme="majorEastAsia" w:hAnsiTheme="majorEastAsia" w:eastAsiaTheme="majorEastAsia"/>
                <w:color w:val="000000"/>
                <w:sz w:val="20"/>
                <w:szCs w:val="20"/>
              </w:rPr>
              <w:t>农业废弃物综合利用率</w:t>
            </w:r>
            <w:bookmarkEnd w:id="6"/>
          </w:p>
          <w:p>
            <w:pPr>
              <w:adjustRightInd w:val="0"/>
              <w:snapToGrid w:val="0"/>
              <w:ind w:firstLine="200" w:firstLineChars="100"/>
              <w:jc w:val="left"/>
              <w:rPr>
                <w:rFonts w:cs="Times New Roman" w:asciiTheme="majorEastAsia" w:hAnsiTheme="majorEastAsia" w:eastAsiaTheme="majorEastAsia"/>
                <w:color w:val="000000"/>
                <w:sz w:val="20"/>
                <w:szCs w:val="20"/>
              </w:rPr>
            </w:pPr>
            <w:bookmarkStart w:id="7" w:name="_Hlk6665080"/>
            <w:r>
              <w:rPr>
                <w:rFonts w:cs="Times New Roman" w:asciiTheme="majorEastAsia" w:hAnsiTheme="majorEastAsia" w:eastAsiaTheme="majorEastAsia"/>
                <w:color w:val="000000"/>
                <w:sz w:val="20"/>
                <w:szCs w:val="20"/>
              </w:rPr>
              <w:t>秸秆综合利用率</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畜禽粪污综合利用率</w:t>
            </w:r>
          </w:p>
          <w:p>
            <w:pPr>
              <w:adjustRightInd w:val="0"/>
              <w:snapToGrid w:val="0"/>
              <w:ind w:firstLine="200" w:firstLineChars="100"/>
              <w:jc w:val="left"/>
              <w:rPr>
                <w:rFonts w:cs="Times New Roman" w:asciiTheme="majorEastAsia" w:hAnsiTheme="majorEastAsia" w:eastAsiaTheme="majorEastAsia"/>
                <w:color w:val="000000"/>
                <w:spacing w:val="-10"/>
                <w:sz w:val="20"/>
                <w:szCs w:val="20"/>
              </w:rPr>
            </w:pPr>
            <w:r>
              <w:rPr>
                <w:rFonts w:cs="Times New Roman" w:asciiTheme="majorEastAsia" w:hAnsiTheme="majorEastAsia" w:eastAsiaTheme="majorEastAsia"/>
                <w:color w:val="000000"/>
                <w:sz w:val="20"/>
                <w:szCs w:val="20"/>
              </w:rPr>
              <w:t>农膜回收利用率</w:t>
            </w:r>
            <w:bookmarkEnd w:id="7"/>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p>
            <w:pPr>
              <w:adjustRightInd w:val="0"/>
              <w:snapToGrid w:val="0"/>
              <w:jc w:val="center"/>
              <w:rPr>
                <w:rFonts w:cs="Times New Roman" w:asciiTheme="majorEastAsia" w:hAnsiTheme="majorEastAsia" w:eastAsiaTheme="majorEastAsia"/>
                <w:color w:val="000000"/>
                <w:sz w:val="20"/>
                <w:szCs w:val="20"/>
              </w:rPr>
            </w:pP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≥90</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≥75</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≥80</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27</w:t>
            </w:r>
          </w:p>
        </w:tc>
        <w:tc>
          <w:tcPr>
            <w:tcW w:w="1784" w:type="pct"/>
            <w:shd w:val="clear" w:color="auto" w:fill="auto"/>
            <w:vAlign w:val="center"/>
          </w:tcPr>
          <w:p>
            <w:pPr>
              <w:adjustRightInd w:val="0"/>
              <w:snapToGrid w:val="0"/>
              <w:jc w:val="left"/>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一般工业固体废物综合利用率提高幅度</w:t>
            </w:r>
          </w:p>
          <w:p>
            <w:pPr>
              <w:adjustRightInd w:val="0"/>
              <w:snapToGrid w:val="0"/>
              <w:ind w:firstLine="200" w:firstLineChars="100"/>
              <w:jc w:val="left"/>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综合利用率≤60%的地区</w:t>
            </w:r>
          </w:p>
          <w:p>
            <w:pPr>
              <w:adjustRightInd w:val="0"/>
              <w:snapToGrid w:val="0"/>
              <w:ind w:firstLine="200" w:firstLineChars="100"/>
              <w:jc w:val="left"/>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综合利用率＞60%的地区</w:t>
            </w:r>
          </w:p>
        </w:tc>
        <w:tc>
          <w:tcPr>
            <w:tcW w:w="416" w:type="pct"/>
            <w:shd w:val="clear" w:color="auto" w:fill="auto"/>
            <w:vAlign w:val="center"/>
          </w:tcPr>
          <w:p>
            <w:pPr>
              <w:adjustRightInd w:val="0"/>
              <w:snapToGrid w:val="0"/>
              <w:ind w:firstLine="200" w:firstLineChars="100"/>
              <w:jc w:val="left"/>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sz w:val="20"/>
                <w:szCs w:val="20"/>
              </w:rPr>
            </w:pPr>
          </w:p>
          <w:p>
            <w:pPr>
              <w:adjustRightInd w:val="0"/>
              <w:snapToGrid w:val="0"/>
              <w:jc w:val="center"/>
              <w:rPr>
                <w:rFonts w:cs="Times New Roman" w:asciiTheme="majorEastAsia" w:hAnsiTheme="majorEastAsia" w:eastAsiaTheme="majorEastAsia"/>
                <w:sz w:val="20"/>
                <w:szCs w:val="20"/>
              </w:rPr>
            </w:pPr>
          </w:p>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≥2</w:t>
            </w:r>
          </w:p>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保持稳定或持续改善</w:t>
            </w:r>
          </w:p>
        </w:tc>
        <w:tc>
          <w:tcPr>
            <w:tcW w:w="559"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290"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生活</w:t>
            </w:r>
          </w:p>
        </w:tc>
        <w:tc>
          <w:tcPr>
            <w:tcW w:w="372" w:type="pct"/>
            <w:vMerge w:val="restar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（八）</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人居环境改善</w:t>
            </w: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28</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pacing w:val="-4"/>
                <w:sz w:val="20"/>
                <w:szCs w:val="20"/>
              </w:rPr>
            </w:pPr>
            <w:r>
              <w:rPr>
                <w:rFonts w:cs="Times New Roman" w:asciiTheme="majorEastAsia" w:hAnsiTheme="majorEastAsia" w:eastAsiaTheme="majorEastAsia"/>
                <w:color w:val="000000"/>
                <w:spacing w:val="-4"/>
                <w:sz w:val="20"/>
                <w:szCs w:val="20"/>
              </w:rPr>
              <w:t>集中式饮用水水源地水质优良比例</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100</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29</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村镇饮用水卫生合格率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100</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30</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城镇污水处理率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市≥95</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县≥85</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hint="eastAsia" w:cs="Times New Roman" w:asciiTheme="majorEastAsia" w:hAnsiTheme="majorEastAsia" w:eastAsiaTheme="majorEastAsia"/>
                <w:color w:val="000000"/>
                <w:sz w:val="20"/>
                <w:szCs w:val="20"/>
              </w:rPr>
              <w:t>3</w:t>
            </w:r>
            <w:r>
              <w:rPr>
                <w:rFonts w:cs="Times New Roman" w:asciiTheme="majorEastAsia" w:hAnsiTheme="majorEastAsia" w:eastAsiaTheme="majorEastAsia"/>
                <w:color w:val="000000"/>
                <w:sz w:val="20"/>
                <w:szCs w:val="20"/>
              </w:rPr>
              <w:t>1</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hint="eastAsia" w:cs="Times New Roman" w:asciiTheme="majorEastAsia" w:hAnsiTheme="majorEastAsia" w:eastAsiaTheme="majorEastAsia"/>
                <w:color w:val="000000"/>
                <w:sz w:val="20"/>
                <w:szCs w:val="20"/>
              </w:rPr>
              <w:t>农村生活污水治理率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≥50</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hint="eastAsia" w:cs="Times New Roman" w:asciiTheme="majorEastAsia" w:hAnsiTheme="majorEastAsia" w:eastAsiaTheme="majorEastAsia"/>
                <w:color w:val="000000"/>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hint="eastAsia"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32</w:t>
            </w:r>
          </w:p>
        </w:tc>
        <w:tc>
          <w:tcPr>
            <w:tcW w:w="1784" w:type="pct"/>
            <w:shd w:val="clear" w:color="auto" w:fill="auto"/>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城镇生活垃圾无害化处理率</w:t>
            </w:r>
          </w:p>
        </w:tc>
        <w:tc>
          <w:tcPr>
            <w:tcW w:w="416"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市≥95</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县≥80</w:t>
            </w:r>
          </w:p>
        </w:tc>
        <w:tc>
          <w:tcPr>
            <w:tcW w:w="559"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shd w:val="clear" w:color="auto" w:fill="auto"/>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3</w:t>
            </w:r>
            <w:r>
              <w:rPr>
                <w:rFonts w:cs="Times New Roman" w:asciiTheme="majorEastAsia" w:hAnsiTheme="majorEastAsia" w:eastAsiaTheme="majorEastAsia"/>
                <w:sz w:val="20"/>
                <w:szCs w:val="20"/>
              </w:rPr>
              <w:t>3</w:t>
            </w:r>
          </w:p>
        </w:tc>
        <w:tc>
          <w:tcPr>
            <w:tcW w:w="1784" w:type="pct"/>
            <w:shd w:val="clear" w:color="auto" w:fill="auto"/>
            <w:vAlign w:val="center"/>
          </w:tcPr>
          <w:p>
            <w:pPr>
              <w:adjustRightInd w:val="0"/>
              <w:snapToGrid w:val="0"/>
              <w:jc w:val="left"/>
              <w:rPr>
                <w:rFonts w:cs="Times New Roman" w:asciiTheme="majorEastAsia" w:hAnsiTheme="majorEastAsia" w:eastAsiaTheme="majorEastAsia"/>
                <w:sz w:val="20"/>
                <w:szCs w:val="20"/>
              </w:rPr>
            </w:pPr>
            <w:bookmarkStart w:id="8" w:name="_Hlk74844869"/>
            <w:r>
              <w:rPr>
                <w:rFonts w:hint="eastAsia" w:cs="Times New Roman" w:asciiTheme="majorEastAsia" w:hAnsiTheme="majorEastAsia" w:eastAsiaTheme="majorEastAsia"/>
                <w:sz w:val="20"/>
                <w:szCs w:val="20"/>
              </w:rPr>
              <w:t>农村生活垃圾无害化处理村占比</w:t>
            </w:r>
            <w:bookmarkEnd w:id="8"/>
          </w:p>
        </w:tc>
        <w:tc>
          <w:tcPr>
            <w:tcW w:w="416"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cs="Times New Roman" w:asciiTheme="majorEastAsia" w:hAnsiTheme="majorEastAsia" w:eastAsiaTheme="majorEastAsia"/>
                <w:color w:val="000000"/>
                <w:sz w:val="20"/>
                <w:szCs w:val="20"/>
              </w:rPr>
              <w:t>≥</w:t>
            </w:r>
            <w:r>
              <w:rPr>
                <w:rFonts w:hint="eastAsia" w:cs="Times New Roman" w:asciiTheme="majorEastAsia" w:hAnsiTheme="majorEastAsia" w:eastAsiaTheme="majorEastAsia"/>
                <w:sz w:val="20"/>
                <w:szCs w:val="20"/>
              </w:rPr>
              <w:t>8</w:t>
            </w:r>
            <w:r>
              <w:rPr>
                <w:rFonts w:cs="Times New Roman" w:asciiTheme="majorEastAsia" w:hAnsiTheme="majorEastAsia" w:eastAsiaTheme="majorEastAsia"/>
                <w:sz w:val="20"/>
                <w:szCs w:val="20"/>
              </w:rPr>
              <w:t>0</w:t>
            </w:r>
          </w:p>
        </w:tc>
        <w:tc>
          <w:tcPr>
            <w:tcW w:w="559"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290"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372" w:type="pct"/>
            <w:vMerge w:val="continue"/>
            <w:vAlign w:val="center"/>
          </w:tcPr>
          <w:p>
            <w:pPr>
              <w:adjustRightInd w:val="0"/>
              <w:snapToGrid w:val="0"/>
              <w:jc w:val="center"/>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34</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城镇人均公园绿地面积</w:t>
            </w:r>
          </w:p>
        </w:tc>
        <w:tc>
          <w:tcPr>
            <w:tcW w:w="416" w:type="pct"/>
            <w:vAlign w:val="center"/>
          </w:tcPr>
          <w:p>
            <w:pPr>
              <w:adjustRightInd w:val="0"/>
              <w:snapToGrid w:val="0"/>
              <w:jc w:val="center"/>
              <w:rPr>
                <w:rFonts w:cs="Times New Roman" w:asciiTheme="majorEastAsia" w:hAnsiTheme="majorEastAsia" w:eastAsiaTheme="majorEastAsia"/>
                <w:color w:val="000000"/>
                <w:spacing w:val="-10"/>
                <w:sz w:val="20"/>
                <w:szCs w:val="20"/>
              </w:rPr>
            </w:pPr>
            <w:r>
              <w:rPr>
                <w:rFonts w:cs="Times New Roman" w:asciiTheme="majorEastAsia" w:hAnsiTheme="majorEastAsia" w:eastAsiaTheme="majorEastAsia"/>
                <w:color w:val="000000"/>
                <w:spacing w:val="-10"/>
                <w:sz w:val="20"/>
                <w:szCs w:val="20"/>
              </w:rPr>
              <w:t>平方米</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/人</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≥15</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35</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bookmarkStart w:id="9" w:name="_Hlk6575831"/>
            <w:r>
              <w:rPr>
                <w:rFonts w:cs="Times New Roman" w:asciiTheme="majorEastAsia" w:hAnsiTheme="majorEastAsia" w:eastAsiaTheme="majorEastAsia"/>
                <w:color w:val="000000"/>
                <w:sz w:val="20"/>
                <w:szCs w:val="20"/>
              </w:rPr>
              <w:t>农村无害化卫生厕所普及率</w:t>
            </w:r>
            <w:bookmarkEnd w:id="9"/>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完成上级规定的目标任务</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生活</w:t>
            </w:r>
          </w:p>
        </w:tc>
        <w:tc>
          <w:tcPr>
            <w:tcW w:w="372"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（九）</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生活</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方式</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绿色化</w:t>
            </w: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36</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城镇新建绿色建筑比例</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≥50</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37</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公共交通出行分担率</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超、特大城市≥70</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大城市≥60</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中小城市≥50</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604"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shd w:val="clear" w:color="auto" w:fill="auto"/>
            <w:vAlign w:val="center"/>
          </w:tcPr>
          <w:p>
            <w:pPr>
              <w:pStyle w:val="13"/>
              <w:adjustRightInd w:val="0"/>
              <w:snapToGrid w:val="0"/>
              <w:ind w:firstLine="0" w:firstLineChars="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38</w:t>
            </w:r>
          </w:p>
        </w:tc>
        <w:tc>
          <w:tcPr>
            <w:tcW w:w="1784" w:type="pct"/>
            <w:shd w:val="clear" w:color="auto" w:fill="auto"/>
            <w:vAlign w:val="center"/>
          </w:tcPr>
          <w:p>
            <w:pPr>
              <w:adjustRightInd w:val="0"/>
              <w:snapToGrid w:val="0"/>
              <w:jc w:val="left"/>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城镇生活垃圾分类减量化行动</w:t>
            </w:r>
          </w:p>
        </w:tc>
        <w:tc>
          <w:tcPr>
            <w:tcW w:w="416"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w:t>
            </w:r>
          </w:p>
        </w:tc>
        <w:tc>
          <w:tcPr>
            <w:tcW w:w="1011"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实施</w:t>
            </w:r>
          </w:p>
        </w:tc>
        <w:tc>
          <w:tcPr>
            <w:tcW w:w="559"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参考性</w:t>
            </w:r>
          </w:p>
        </w:tc>
        <w:tc>
          <w:tcPr>
            <w:tcW w:w="314" w:type="pct"/>
            <w:shd w:val="clear" w:color="auto" w:fill="auto"/>
            <w:vAlign w:val="center"/>
          </w:tcPr>
          <w:p>
            <w:pPr>
              <w:adjustRightInd w:val="0"/>
              <w:snapToGrid w:val="0"/>
              <w:jc w:val="center"/>
              <w:rPr>
                <w:rFonts w:cs="Times New Roman" w:asciiTheme="majorEastAsia" w:hAnsiTheme="majorEastAsia" w:eastAsiaTheme="majorEastAsia"/>
                <w:sz w:val="20"/>
                <w:szCs w:val="20"/>
              </w:rPr>
            </w:pPr>
            <w:r>
              <w:rPr>
                <w:rFonts w:hint="eastAsia" w:cs="Times New Roman" w:asciiTheme="majorEastAsia" w:hAnsiTheme="majorEastAsia" w:eastAsiaTheme="majorEastAsia"/>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302"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39</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绿色产品市场占有率</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节能家电市场占有率</w:t>
            </w:r>
          </w:p>
          <w:p>
            <w:pPr>
              <w:adjustRightInd w:val="0"/>
              <w:snapToGrid w:val="0"/>
              <w:ind w:firstLine="190" w:firstLineChars="100"/>
              <w:jc w:val="left"/>
              <w:rPr>
                <w:rFonts w:cs="Times New Roman" w:asciiTheme="majorEastAsia" w:hAnsiTheme="majorEastAsia" w:eastAsiaTheme="majorEastAsia"/>
                <w:color w:val="000000"/>
                <w:spacing w:val="-5"/>
                <w:sz w:val="20"/>
                <w:szCs w:val="20"/>
              </w:rPr>
            </w:pPr>
            <w:r>
              <w:rPr>
                <w:rFonts w:cs="Times New Roman" w:asciiTheme="majorEastAsia" w:hAnsiTheme="majorEastAsia" w:eastAsiaTheme="majorEastAsia"/>
                <w:color w:val="000000"/>
                <w:spacing w:val="-5"/>
                <w:sz w:val="20"/>
                <w:szCs w:val="20"/>
              </w:rPr>
              <w:t>在售用水器具中节水型器具占比</w:t>
            </w:r>
          </w:p>
          <w:p>
            <w:pPr>
              <w:adjustRightInd w:val="0"/>
              <w:snapToGrid w:val="0"/>
              <w:ind w:firstLine="200" w:firstLineChars="10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一次性消费品人均使用量</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千克</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≥50</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100</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逐步下降</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40</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政府绿色采购比例</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≥80</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约束性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01" w:hRule="atLeast"/>
          <w:jc w:val="center"/>
        </w:trPr>
        <w:tc>
          <w:tcPr>
            <w:tcW w:w="290"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生态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文化</w:t>
            </w:r>
          </w:p>
        </w:tc>
        <w:tc>
          <w:tcPr>
            <w:tcW w:w="372" w:type="pct"/>
            <w:vMerge w:val="restar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（十）</w:t>
            </w:r>
          </w:p>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观念意识普及</w:t>
            </w: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41</w:t>
            </w:r>
          </w:p>
        </w:tc>
        <w:tc>
          <w:tcPr>
            <w:tcW w:w="1784" w:type="pct"/>
            <w:vAlign w:val="center"/>
          </w:tcPr>
          <w:p>
            <w:pPr>
              <w:adjustRightInd w:val="0"/>
              <w:snapToGrid w:val="0"/>
              <w:jc w:val="left"/>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党政领导干部参加生态文明培训的人数比例</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100</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42</w:t>
            </w:r>
          </w:p>
        </w:tc>
        <w:tc>
          <w:tcPr>
            <w:tcW w:w="1784" w:type="pct"/>
            <w:vAlign w:val="center"/>
          </w:tcPr>
          <w:p>
            <w:pPr>
              <w:adjustRightInd w:val="0"/>
              <w:snapToGrid w:val="0"/>
              <w:jc w:val="left"/>
              <w:rPr>
                <w:rFonts w:cs="Times New Roman" w:asciiTheme="majorEastAsia" w:hAnsiTheme="majorEastAsia" w:eastAsiaTheme="majorEastAsia"/>
                <w:color w:val="000000"/>
                <w:spacing w:val="-12"/>
                <w:sz w:val="20"/>
                <w:szCs w:val="20"/>
              </w:rPr>
            </w:pPr>
            <w:r>
              <w:rPr>
                <w:rFonts w:cs="Times New Roman" w:asciiTheme="majorEastAsia" w:hAnsiTheme="majorEastAsia" w:eastAsiaTheme="majorEastAsia"/>
                <w:color w:val="000000"/>
                <w:spacing w:val="-12"/>
                <w:sz w:val="20"/>
                <w:szCs w:val="20"/>
              </w:rPr>
              <w:t>公众对生态文明建设的满意度</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≥80</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0" w:type="auto"/>
            <w:vMerge w:val="continue"/>
            <w:vAlign w:val="center"/>
          </w:tcPr>
          <w:p>
            <w:pPr>
              <w:widowControl/>
              <w:adjustRightInd w:val="0"/>
              <w:snapToGrid w:val="0"/>
              <w:jc w:val="left"/>
              <w:rPr>
                <w:rFonts w:cs="Times New Roman" w:asciiTheme="majorEastAsia" w:hAnsiTheme="majorEastAsia" w:eastAsiaTheme="majorEastAsia"/>
                <w:color w:val="000000"/>
                <w:sz w:val="20"/>
                <w:szCs w:val="20"/>
              </w:rPr>
            </w:pPr>
          </w:p>
        </w:tc>
        <w:tc>
          <w:tcPr>
            <w:tcW w:w="254" w:type="pct"/>
            <w:vAlign w:val="center"/>
          </w:tcPr>
          <w:p>
            <w:pPr>
              <w:pStyle w:val="13"/>
              <w:adjustRightInd w:val="0"/>
              <w:snapToGrid w:val="0"/>
              <w:ind w:firstLine="0" w:firstLineChars="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43</w:t>
            </w:r>
          </w:p>
        </w:tc>
        <w:tc>
          <w:tcPr>
            <w:tcW w:w="1784" w:type="pct"/>
            <w:vAlign w:val="center"/>
          </w:tcPr>
          <w:p>
            <w:pPr>
              <w:adjustRightInd w:val="0"/>
              <w:snapToGrid w:val="0"/>
              <w:jc w:val="left"/>
              <w:rPr>
                <w:rFonts w:cs="Times New Roman" w:asciiTheme="majorEastAsia" w:hAnsiTheme="majorEastAsia" w:eastAsiaTheme="majorEastAsia"/>
                <w:color w:val="000000"/>
                <w:spacing w:val="-12"/>
                <w:sz w:val="20"/>
                <w:szCs w:val="20"/>
              </w:rPr>
            </w:pPr>
            <w:r>
              <w:rPr>
                <w:rFonts w:cs="Times New Roman" w:asciiTheme="majorEastAsia" w:hAnsiTheme="majorEastAsia" w:eastAsiaTheme="majorEastAsia"/>
                <w:color w:val="000000"/>
                <w:spacing w:val="-12"/>
                <w:sz w:val="20"/>
                <w:szCs w:val="20"/>
              </w:rPr>
              <w:t>公众对生态文明建设的参与度</w:t>
            </w:r>
          </w:p>
        </w:tc>
        <w:tc>
          <w:tcPr>
            <w:tcW w:w="416"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w:t>
            </w:r>
          </w:p>
        </w:tc>
        <w:tc>
          <w:tcPr>
            <w:tcW w:w="1011"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≥80</w:t>
            </w:r>
          </w:p>
        </w:tc>
        <w:tc>
          <w:tcPr>
            <w:tcW w:w="559"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参考性</w:t>
            </w:r>
          </w:p>
        </w:tc>
        <w:tc>
          <w:tcPr>
            <w:tcW w:w="314" w:type="pct"/>
            <w:vAlign w:val="center"/>
          </w:tcPr>
          <w:p>
            <w:pPr>
              <w:adjustRightInd w:val="0"/>
              <w:snapToGrid w:val="0"/>
              <w:jc w:val="center"/>
              <w:rPr>
                <w:rFonts w:cs="Times New Roman" w:asciiTheme="majorEastAsia" w:hAnsiTheme="majorEastAsia" w:eastAsiaTheme="majorEastAsia"/>
                <w:color w:val="000000"/>
                <w:sz w:val="20"/>
                <w:szCs w:val="20"/>
              </w:rPr>
            </w:pPr>
            <w:r>
              <w:rPr>
                <w:rFonts w:cs="Times New Roman" w:asciiTheme="majorEastAsia" w:hAnsiTheme="majorEastAsia" w:eastAsiaTheme="majorEastAsia"/>
                <w:color w:val="000000"/>
                <w:sz w:val="20"/>
                <w:szCs w:val="20"/>
              </w:rPr>
              <w:t>市县</w:t>
            </w:r>
          </w:p>
        </w:tc>
      </w:tr>
      <w:bookmarkEnd w:id="0"/>
    </w:tbl>
    <w:p>
      <w:pPr>
        <w:adjustRightInd w:val="0"/>
        <w:snapToGrid w:val="0"/>
        <w:spacing w:line="360" w:lineRule="auto"/>
        <w:jc w:val="left"/>
        <w:rPr>
          <w:rFonts w:ascii="Times New Roman" w:hAnsi="Times New Roman" w:eastAsia="黑体" w:cs="Times New Roman"/>
          <w:color w:val="000000"/>
          <w:sz w:val="32"/>
          <w:szCs w:val="32"/>
        </w:rPr>
      </w:pPr>
    </w:p>
    <w:p>
      <w:pPr>
        <w:adjustRightInd w:val="0"/>
        <w:snapToGrid w:val="0"/>
        <w:spacing w:line="360" w:lineRule="auto"/>
        <w:jc w:val="left"/>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指标解释：</w:t>
      </w:r>
    </w:p>
    <w:p>
      <w:pPr>
        <w:adjustRightInd w:val="0"/>
        <w:snapToGrid w:val="0"/>
        <w:spacing w:line="360" w:lineRule="auto"/>
        <w:ind w:firstLine="602" w:firstLineChars="200"/>
        <w:rPr>
          <w:rFonts w:ascii="Times New Roman" w:hAnsi="Times New Roman" w:eastAsia="仿宋_GB2312" w:cs="Times New Roman"/>
          <w:b/>
          <w:bCs/>
          <w:sz w:val="30"/>
          <w:szCs w:val="30"/>
        </w:rPr>
      </w:pPr>
      <w:r>
        <w:rPr>
          <w:rFonts w:hint="eastAsia" w:ascii="仿宋_GB2312" w:hAnsi="Times New Roman" w:eastAsia="仿宋_GB2312" w:cs="Times New Roman"/>
          <w:b/>
          <w:bCs/>
          <w:sz w:val="30"/>
          <w:szCs w:val="30"/>
        </w:rPr>
        <w:t>指标10.生态环境状况指</w:t>
      </w:r>
      <w:r>
        <w:rPr>
          <w:rFonts w:ascii="Times New Roman" w:hAnsi="Times New Roman" w:eastAsia="仿宋_GB2312" w:cs="Times New Roman"/>
          <w:b/>
          <w:bCs/>
          <w:sz w:val="30"/>
          <w:szCs w:val="30"/>
        </w:rPr>
        <w:t>数</w:t>
      </w:r>
    </w:p>
    <w:p>
      <w:pPr>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适用范围：</w:t>
      </w:r>
      <w:r>
        <w:rPr>
          <w:rFonts w:hint="eastAsia" w:ascii="仿宋_GB2312" w:hAnsi="Times New Roman" w:eastAsia="仿宋_GB2312" w:cs="Times New Roman"/>
          <w:bCs/>
          <w:color w:val="000000"/>
          <w:sz w:val="30"/>
          <w:szCs w:val="30"/>
        </w:rPr>
        <w:t>地级行政区、县级行政区。</w:t>
      </w:r>
    </w:p>
    <w:p>
      <w:pPr>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指标解释：生态环境状况指数（</w:t>
      </w:r>
      <w:r>
        <w:rPr>
          <w:rFonts w:hint="eastAsia" w:ascii="仿宋_GB2312" w:hAnsi="Times New Roman" w:eastAsia="仿宋_GB2312" w:cs="Times New Roman"/>
          <w:color w:val="000000"/>
          <w:sz w:val="30"/>
          <w:szCs w:val="30"/>
          <w:lang w:val="zh-CN"/>
        </w:rPr>
        <w:t>EI</w:t>
      </w:r>
      <w:r>
        <w:rPr>
          <w:rFonts w:hint="eastAsia" w:ascii="仿宋_GB2312" w:hAnsi="Times New Roman" w:eastAsia="仿宋_GB2312" w:cs="Times New Roman"/>
          <w:color w:val="000000"/>
          <w:sz w:val="30"/>
          <w:szCs w:val="30"/>
        </w:rPr>
        <w:t>）</w:t>
      </w:r>
      <w:r>
        <w:rPr>
          <w:rFonts w:hint="eastAsia" w:ascii="仿宋_GB2312" w:hAnsi="Times New Roman" w:eastAsia="仿宋_GB2312" w:cs="Times New Roman"/>
          <w:color w:val="000000"/>
          <w:sz w:val="30"/>
          <w:szCs w:val="30"/>
          <w:lang w:val="zh-CN"/>
        </w:rPr>
        <w:t>是表征行政区域内生态环境质量状况的生物丰度指数、植被覆盖指数、水网密度指数、土地胁迫指数、污染负荷指数和环境限制指数的综合反映。执行《生态环境状况评价技术规范》（HJ 192-2015）。</w:t>
      </w:r>
      <w:r>
        <w:rPr>
          <w:rFonts w:hint="eastAsia" w:ascii="仿宋_GB2312" w:hAnsi="Times New Roman" w:eastAsia="仿宋_GB2312" w:cs="Times New Roman"/>
          <w:color w:val="000000"/>
          <w:sz w:val="30"/>
          <w:szCs w:val="30"/>
        </w:rPr>
        <w:t>要求生态环境状况指数不降低。</w:t>
      </w:r>
    </w:p>
    <w:p>
      <w:pPr>
        <w:adjustRightInd w:val="0"/>
        <w:snapToGrid w:val="0"/>
        <w:spacing w:line="360" w:lineRule="auto"/>
        <w:jc w:val="center"/>
        <w:rPr>
          <w:rFonts w:ascii="Times New Roman" w:hAnsi="Times New Roman" w:eastAsia="仿宋_GB2312" w:cs="Times New Roman"/>
          <w:color w:val="000000"/>
          <w:sz w:val="30"/>
          <w:szCs w:val="30"/>
          <w:lang w:val="zh-CN"/>
        </w:rPr>
      </w:pPr>
      <w:r>
        <w:rPr>
          <w:rFonts w:ascii="Times New Roman" w:hAnsi="Times New Roman" w:cs="Times New Roman"/>
        </w:rPr>
        <w:drawing>
          <wp:inline distT="0" distB="0" distL="0" distR="0">
            <wp:extent cx="5300980" cy="683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l="4525"/>
                    <a:stretch>
                      <a:fillRect/>
                    </a:stretch>
                  </pic:blipFill>
                  <pic:spPr>
                    <a:xfrm>
                      <a:off x="0" y="0"/>
                      <a:ext cx="5329616" cy="687472"/>
                    </a:xfrm>
                    <a:prstGeom prst="rect">
                      <a:avLst/>
                    </a:prstGeom>
                    <a:noFill/>
                    <a:ln>
                      <a:noFill/>
                    </a:ln>
                  </pic:spPr>
                </pic:pic>
              </a:graphicData>
            </a:graphic>
          </wp:inline>
        </w:drawing>
      </w:r>
    </w:p>
    <w:p>
      <w:pPr>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lang w:val="zh-CN"/>
        </w:rPr>
        <w:t>注：执行《干湿气候等级》（GB/T 3407-2017），干旱半干旱区指干湿指数在0.05-0.5之间，年降水量在400mm以下的地区；半湿润地区指干湿指数在0.5-1.0之间，年降水量在400-800mm之间的地区；湿润地区指干湿指数在1.0-1.65之间，年降水量在800mm以上的地区。原则上</w:t>
      </w:r>
      <w:r>
        <w:rPr>
          <w:rFonts w:hint="eastAsia" w:ascii="仿宋_GB2312" w:hAnsi="Times New Roman" w:eastAsia="仿宋_GB2312" w:cs="Times New Roman"/>
          <w:color w:val="000000"/>
          <w:sz w:val="30"/>
          <w:szCs w:val="30"/>
        </w:rPr>
        <w:t>按区域主要气候类型对应的目标值考核。</w:t>
      </w:r>
    </w:p>
    <w:p>
      <w:pPr>
        <w:adjustRightInd w:val="0"/>
        <w:snapToGrid w:val="0"/>
        <w:spacing w:line="360" w:lineRule="auto"/>
        <w:ind w:firstLine="60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0"/>
          <w:szCs w:val="30"/>
          <w:lang w:val="zh-CN"/>
        </w:rPr>
        <w:t>数据来源：生态环境部门</w:t>
      </w:r>
      <w:r>
        <w:rPr>
          <w:rFonts w:hint="eastAsia" w:ascii="仿宋_GB2312" w:hAnsi="Times New Roman" w:eastAsia="仿宋_GB2312" w:cs="Times New Roman"/>
          <w:color w:val="000000"/>
          <w:sz w:val="30"/>
          <w:szCs w:val="30"/>
        </w:rPr>
        <w:t>。</w:t>
      </w:r>
    </w:p>
    <w:p>
      <w:pPr>
        <w:tabs>
          <w:tab w:val="left" w:pos="567"/>
        </w:tabs>
        <w:adjustRightInd w:val="0"/>
        <w:snapToGrid w:val="0"/>
        <w:spacing w:line="360" w:lineRule="auto"/>
        <w:ind w:firstLine="602" w:firstLineChars="200"/>
        <w:rPr>
          <w:rFonts w:ascii="仿宋_GB2312" w:hAnsi="Times New Roman" w:eastAsia="仿宋_GB2312" w:cs="Times New Roman"/>
          <w:b/>
          <w:color w:val="000000"/>
          <w:sz w:val="30"/>
          <w:szCs w:val="30"/>
        </w:rPr>
      </w:pPr>
      <w:r>
        <w:rPr>
          <w:rFonts w:hint="eastAsia" w:ascii="仿宋_GB2312" w:hAnsi="Times New Roman" w:eastAsia="仿宋_GB2312" w:cs="Times New Roman"/>
          <w:b/>
          <w:color w:val="000000"/>
          <w:sz w:val="30"/>
          <w:szCs w:val="30"/>
        </w:rPr>
        <w:t>指标23.单位地区生产总值二氧化碳排放</w:t>
      </w:r>
    </w:p>
    <w:p>
      <w:pPr>
        <w:adjustRightInd w:val="0"/>
        <w:snapToGrid w:val="0"/>
        <w:spacing w:line="360" w:lineRule="auto"/>
        <w:ind w:firstLine="600" w:firstLineChars="200"/>
        <w:rPr>
          <w:rFonts w:ascii="仿宋_GB2312" w:hAnsi="Times New Roman" w:eastAsia="仿宋_GB2312" w:cs="Times New Roman"/>
          <w:bCs/>
          <w:color w:val="000000"/>
          <w:kern w:val="0"/>
          <w:sz w:val="30"/>
          <w:szCs w:val="30"/>
        </w:rPr>
      </w:pPr>
      <w:r>
        <w:rPr>
          <w:rFonts w:hint="eastAsia" w:ascii="仿宋_GB2312" w:hAnsi="Times New Roman" w:eastAsia="仿宋_GB2312" w:cs="Times New Roman"/>
          <w:bCs/>
          <w:color w:val="000000"/>
          <w:kern w:val="0"/>
          <w:sz w:val="30"/>
          <w:szCs w:val="30"/>
        </w:rPr>
        <w:t>适用范围：</w:t>
      </w:r>
      <w:r>
        <w:rPr>
          <w:rFonts w:hint="eastAsia" w:ascii="仿宋_GB2312" w:hAnsi="Times New Roman" w:eastAsia="仿宋_GB2312" w:cs="Times New Roman"/>
          <w:bCs/>
          <w:color w:val="000000"/>
          <w:sz w:val="30"/>
          <w:szCs w:val="30"/>
        </w:rPr>
        <w:t>地级行政区。</w:t>
      </w:r>
    </w:p>
    <w:p>
      <w:pPr>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bCs/>
          <w:color w:val="000000"/>
          <w:kern w:val="0"/>
          <w:sz w:val="30"/>
          <w:szCs w:val="30"/>
        </w:rPr>
        <w:t>指标解释：指</w:t>
      </w:r>
      <w:r>
        <w:rPr>
          <w:rFonts w:hint="eastAsia" w:ascii="仿宋_GB2312" w:hAnsi="Times New Roman" w:eastAsia="仿宋_GB2312" w:cs="Times New Roman"/>
          <w:color w:val="000000"/>
          <w:sz w:val="30"/>
          <w:szCs w:val="30"/>
        </w:rPr>
        <w:t>行政区域内单位地区生产总值的增长所带来的二氧化碳排放量，用来衡量经济增长同碳排放量增长之间的关系。</w:t>
      </w:r>
    </w:p>
    <w:p>
      <w:pPr>
        <w:jc w:val="center"/>
        <w:rPr>
          <w:rFonts w:ascii="Times New Roman" w:hAnsi="Times New Roman" w:cs="Times New Roman"/>
        </w:rPr>
      </w:pPr>
      <w:r>
        <w:rPr>
          <w:rFonts w:ascii="Times New Roman" w:hAnsi="Times New Roman" w:cs="Times New Roman"/>
        </w:rPr>
        <w:drawing>
          <wp:inline distT="0" distB="0" distL="0" distR="0">
            <wp:extent cx="5274310" cy="5905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590550"/>
                    </a:xfrm>
                    <a:prstGeom prst="rect">
                      <a:avLst/>
                    </a:prstGeom>
                    <a:noFill/>
                    <a:ln>
                      <a:noFill/>
                    </a:ln>
                  </pic:spPr>
                </pic:pic>
              </a:graphicData>
            </a:graphic>
          </wp:inline>
        </w:drawing>
      </w:r>
    </w:p>
    <w:p>
      <w:pPr>
        <w:tabs>
          <w:tab w:val="left" w:pos="420"/>
        </w:tabs>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bCs/>
          <w:color w:val="000000"/>
          <w:kern w:val="0"/>
          <w:sz w:val="30"/>
          <w:szCs w:val="30"/>
        </w:rPr>
        <w:t>数据来源：</w:t>
      </w:r>
      <w:r>
        <w:rPr>
          <w:rFonts w:hint="eastAsia" w:ascii="仿宋_GB2312" w:hAnsi="Times New Roman" w:eastAsia="仿宋_GB2312" w:cs="Times New Roman"/>
          <w:color w:val="000000"/>
          <w:sz w:val="30"/>
          <w:szCs w:val="30"/>
        </w:rPr>
        <w:t>统计、生态环境等部门。</w:t>
      </w:r>
    </w:p>
    <w:p>
      <w:pPr>
        <w:adjustRightInd w:val="0"/>
        <w:snapToGrid w:val="0"/>
        <w:spacing w:line="360" w:lineRule="auto"/>
        <w:ind w:firstLine="602" w:firstLineChars="200"/>
        <w:rPr>
          <w:rFonts w:ascii="仿宋_GB2312" w:hAnsi="Times New Roman" w:eastAsia="仿宋_GB2312" w:cs="Times New Roman"/>
          <w:b/>
          <w:bCs/>
          <w:sz w:val="30"/>
          <w:szCs w:val="30"/>
        </w:rPr>
      </w:pPr>
      <w:r>
        <w:rPr>
          <w:rFonts w:hint="eastAsia" w:ascii="仿宋_GB2312" w:hAnsi="Times New Roman" w:eastAsia="仿宋_GB2312" w:cs="Times New Roman"/>
          <w:b/>
          <w:bCs/>
          <w:sz w:val="30"/>
          <w:szCs w:val="30"/>
        </w:rPr>
        <w:t>指标25.三大粮食作物化肥农药利用率</w:t>
      </w:r>
    </w:p>
    <w:p>
      <w:pPr>
        <w:adjustRightInd w:val="0"/>
        <w:snapToGrid w:val="0"/>
        <w:spacing w:line="360" w:lineRule="auto"/>
        <w:ind w:firstLine="600" w:firstLineChars="200"/>
        <w:rPr>
          <w:rFonts w:ascii="仿宋_GB2312" w:hAnsi="Times New Roman" w:eastAsia="仿宋_GB2312" w:cs="Times New Roman"/>
          <w:bCs/>
          <w:color w:val="000000"/>
          <w:kern w:val="0"/>
          <w:sz w:val="30"/>
          <w:szCs w:val="30"/>
        </w:rPr>
      </w:pPr>
      <w:r>
        <w:rPr>
          <w:rFonts w:hint="eastAsia" w:ascii="仿宋_GB2312" w:hAnsi="Times New Roman" w:eastAsia="仿宋_GB2312" w:cs="Times New Roman"/>
          <w:bCs/>
          <w:color w:val="000000"/>
          <w:kern w:val="0"/>
          <w:sz w:val="30"/>
          <w:szCs w:val="30"/>
        </w:rPr>
        <w:t>适用范围：县</w:t>
      </w:r>
      <w:r>
        <w:rPr>
          <w:rFonts w:hint="eastAsia" w:ascii="仿宋_GB2312" w:hAnsi="Times New Roman" w:eastAsia="仿宋_GB2312" w:cs="Times New Roman"/>
          <w:bCs/>
          <w:color w:val="000000"/>
          <w:sz w:val="30"/>
          <w:szCs w:val="30"/>
        </w:rPr>
        <w:t>级行政区。</w:t>
      </w:r>
    </w:p>
    <w:p>
      <w:pPr>
        <w:adjustRightInd w:val="0"/>
        <w:snapToGrid w:val="0"/>
        <w:spacing w:line="360" w:lineRule="auto"/>
        <w:ind w:firstLine="602" w:firstLineChars="20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化肥利用率</w:t>
      </w:r>
    </w:p>
    <w:p>
      <w:pPr>
        <w:adjustRightInd w:val="0"/>
        <w:snapToGrid w:val="0"/>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指标解释：指肥料中有效养分被当季作物吸收利用的程度。作物指水稻、小麦、玉米三大粮食作物。化肥包括磷肥、氮肥、钾肥。</w:t>
      </w:r>
    </w:p>
    <w:p>
      <w:pPr>
        <w:rPr>
          <w:rFonts w:ascii="Times New Roman" w:hAnsi="Times New Roman" w:eastAsia="仿宋_GB2312" w:cs="Times New Roman"/>
          <w:sz w:val="24"/>
          <w:szCs w:val="24"/>
        </w:rPr>
      </w:pPr>
      <m:oMathPara>
        <m:oMath>
          <m:r>
            <m:rPr>
              <m:sty m:val="p"/>
            </m:rPr>
            <w:rPr>
              <w:rFonts w:ascii="Cambria Math" w:hAnsi="Cambria Math" w:eastAsia="仿宋_GB2312" w:cs="Times New Roman"/>
              <w:sz w:val="24"/>
              <w:szCs w:val="24"/>
            </w:rPr>
            <m:t>化肥利用率</m:t>
          </m:r>
          <m:r>
            <m:rPr/>
            <w:rPr>
              <w:rFonts w:ascii="Cambria Math" w:hAnsi="Cambria Math" w:eastAsia="仿宋_GB2312" w:cs="Times New Roman"/>
              <w:sz w:val="24"/>
              <w:szCs w:val="24"/>
            </w:rPr>
            <m:t>=</m:t>
          </m:r>
          <m:f>
            <m:fPr>
              <m:ctrlPr>
                <w:rPr>
                  <w:rFonts w:ascii="Cambria Math" w:hAnsi="Cambria Math" w:eastAsia="仿宋_GB2312" w:cs="Times New Roman"/>
                  <w:sz w:val="24"/>
                  <w:szCs w:val="24"/>
                </w:rPr>
              </m:ctrlPr>
            </m:fPr>
            <m:num>
              <m:r>
                <m:rPr>
                  <m:sty m:val="p"/>
                </m:rPr>
                <w:rPr>
                  <w:rFonts w:ascii="Cambria Math" w:hAnsi="Cambria Math" w:eastAsia="仿宋_GB2312" w:cs="Times New Roman"/>
                  <w:sz w:val="24"/>
                  <w:szCs w:val="24"/>
                </w:rPr>
                <m:t>被作物吸收的肥料养分总量（千克）</m:t>
              </m:r>
              <m:ctrlPr>
                <w:rPr>
                  <w:rFonts w:ascii="Cambria Math" w:hAnsi="Cambria Math" w:eastAsia="仿宋_GB2312" w:cs="Times New Roman"/>
                  <w:sz w:val="24"/>
                  <w:szCs w:val="24"/>
                </w:rPr>
              </m:ctrlPr>
            </m:num>
            <m:den>
              <m:r>
                <m:rPr>
                  <m:sty m:val="p"/>
                </m:rPr>
                <w:rPr>
                  <w:rFonts w:ascii="Cambria Math" w:hAnsi="Cambria Math" w:eastAsia="仿宋_GB2312" w:cs="Times New Roman"/>
                  <w:sz w:val="24"/>
                  <w:szCs w:val="24"/>
                </w:rPr>
                <m:t>施用的化肥总量（千克）</m:t>
              </m:r>
              <m:ctrlPr>
                <w:rPr>
                  <w:rFonts w:ascii="Cambria Math" w:hAnsi="Cambria Math" w:eastAsia="仿宋_GB2312" w:cs="Times New Roman"/>
                  <w:sz w:val="24"/>
                  <w:szCs w:val="24"/>
                </w:rPr>
              </m:ctrlPr>
            </m:den>
          </m:f>
          <m:r>
            <m:rPr/>
            <w:rPr>
              <w:rFonts w:ascii="Cambria Math" w:hAnsi="Cambria Math" w:eastAsia="仿宋_GB2312" w:cs="Times New Roman"/>
              <w:sz w:val="24"/>
              <w:szCs w:val="24"/>
            </w:rPr>
            <m:t>×</m:t>
          </m:r>
          <m:r>
            <m:rPr>
              <m:sty m:val="p"/>
            </m:rPr>
            <w:rPr>
              <w:rFonts w:ascii="Cambria Math" w:hAnsi="Cambria Math" w:eastAsia="仿宋_GB2312" w:cs="Times New Roman"/>
              <w:sz w:val="24"/>
              <w:szCs w:val="24"/>
            </w:rPr>
            <m:t>100%</m:t>
          </m:r>
        </m:oMath>
      </m:oMathPara>
    </w:p>
    <w:p>
      <w:pPr>
        <w:adjustRightInd w:val="0"/>
        <w:snapToGrid w:val="0"/>
        <w:spacing w:line="360" w:lineRule="auto"/>
        <w:ind w:firstLine="600" w:firstLineChars="200"/>
        <w:rPr>
          <w:rFonts w:ascii="仿宋_GB2312" w:hAnsi="Times New Roman" w:eastAsia="仿宋_GB2312" w:cs="Times New Roman"/>
          <w:bCs/>
          <w:color w:val="000000"/>
          <w:kern w:val="0"/>
          <w:sz w:val="30"/>
          <w:szCs w:val="30"/>
        </w:rPr>
      </w:pPr>
      <w:r>
        <w:rPr>
          <w:rFonts w:hint="eastAsia" w:ascii="仿宋_GB2312" w:hAnsi="Times New Roman" w:eastAsia="仿宋_GB2312" w:cs="Times New Roman"/>
          <w:bCs/>
          <w:color w:val="000000"/>
          <w:kern w:val="0"/>
          <w:sz w:val="30"/>
          <w:szCs w:val="30"/>
        </w:rPr>
        <w:t>指标值：≥43%。</w:t>
      </w:r>
    </w:p>
    <w:p>
      <w:pPr>
        <w:adjustRightInd w:val="0"/>
        <w:snapToGrid w:val="0"/>
        <w:spacing w:line="360" w:lineRule="auto"/>
        <w:ind w:firstLine="602" w:firstLineChars="20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农药利用率</w:t>
      </w:r>
    </w:p>
    <w:p>
      <w:pPr>
        <w:adjustRightInd w:val="0"/>
        <w:snapToGrid w:val="0"/>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指标解释：指在单位面积内，沉积在作物上的农药量占所施用农药总量的比例。作物指水稻、小麦、玉米三大粮食作物。</w:t>
      </w:r>
    </w:p>
    <w:p>
      <w:pPr>
        <w:rPr>
          <w:rFonts w:ascii="Times New Roman" w:hAnsi="Times New Roman" w:eastAsia="仿宋_GB2312" w:cs="Times New Roman"/>
          <w:iCs/>
          <w:sz w:val="24"/>
          <w:szCs w:val="24"/>
        </w:rPr>
      </w:pPr>
      <m:oMathPara>
        <m:oMath>
          <m:r>
            <m:rPr>
              <m:sty m:val="p"/>
            </m:rPr>
            <w:rPr>
              <w:rFonts w:ascii="Cambria Math" w:hAnsi="Cambria Math" w:eastAsia="仿宋_GB2312" w:cs="Times New Roman"/>
              <w:sz w:val="24"/>
              <w:szCs w:val="24"/>
            </w:rPr>
            <m:t>农药利用率</m:t>
          </m:r>
          <m:r>
            <m:rPr/>
            <w:rPr>
              <w:rFonts w:ascii="Cambria Math" w:hAnsi="Cambria Math" w:eastAsia="仿宋_GB2312" w:cs="Times New Roman"/>
              <w:sz w:val="24"/>
              <w:szCs w:val="24"/>
            </w:rPr>
            <m:t>=</m:t>
          </m:r>
          <m:f>
            <m:fPr>
              <m:ctrlPr>
                <w:rPr>
                  <w:rFonts w:ascii="Cambria Math" w:hAnsi="Cambria Math" w:eastAsia="仿宋_GB2312" w:cs="Times New Roman"/>
                  <w:sz w:val="24"/>
                  <w:szCs w:val="24"/>
                </w:rPr>
              </m:ctrlPr>
            </m:fPr>
            <m:num>
              <m:r>
                <m:rPr>
                  <m:sty m:val="p"/>
                </m:rPr>
                <w:rPr>
                  <w:rFonts w:hint="eastAsia" w:ascii="Cambria Math" w:hAnsi="Cambria Math" w:eastAsia="仿宋_GB2312" w:cs="Times New Roman"/>
                  <w:sz w:val="24"/>
                  <w:szCs w:val="24"/>
                </w:rPr>
                <m:t>单位面积</m:t>
              </m:r>
              <m:r>
                <m:rPr>
                  <m:sty m:val="p"/>
                </m:rPr>
                <w:rPr>
                  <w:rFonts w:ascii="Cambria Math" w:hAnsi="Cambria Math" w:eastAsia="仿宋_GB2312" w:cs="Times New Roman"/>
                  <w:sz w:val="24"/>
                  <w:szCs w:val="24"/>
                </w:rPr>
                <m:t>沉积在作物上的农药量（千克）</m:t>
              </m:r>
              <m:ctrlPr>
                <w:rPr>
                  <w:rFonts w:ascii="Cambria Math" w:hAnsi="Cambria Math" w:eastAsia="仿宋_GB2312" w:cs="Times New Roman"/>
                  <w:sz w:val="24"/>
                  <w:szCs w:val="24"/>
                </w:rPr>
              </m:ctrlPr>
            </m:num>
            <m:den>
              <m:r>
                <m:rPr>
                  <m:sty m:val="p"/>
                </m:rPr>
                <w:rPr>
                  <w:rFonts w:ascii="Cambria Math" w:hAnsi="Cambria Math" w:eastAsia="仿宋_GB2312" w:cs="Times New Roman"/>
                  <w:sz w:val="24"/>
                  <w:szCs w:val="24"/>
                </w:rPr>
                <m:t>单位面积</m:t>
              </m:r>
              <m:r>
                <m:rPr>
                  <m:sty m:val="p"/>
                </m:rPr>
                <w:rPr>
                  <w:rFonts w:hint="eastAsia" w:ascii="Cambria Math" w:hAnsi="Cambria Math" w:eastAsia="仿宋_GB2312" w:cs="Times New Roman"/>
                  <w:sz w:val="24"/>
                  <w:szCs w:val="24"/>
                </w:rPr>
                <m:t>施用</m:t>
              </m:r>
              <m:r>
                <m:rPr>
                  <m:sty m:val="p"/>
                </m:rPr>
                <w:rPr>
                  <w:rFonts w:ascii="Cambria Math" w:hAnsi="Cambria Math" w:eastAsia="仿宋_GB2312" w:cs="Times New Roman"/>
                  <w:sz w:val="24"/>
                  <w:szCs w:val="24"/>
                </w:rPr>
                <m:t>的农药总量（千克）</m:t>
              </m:r>
              <m:ctrlPr>
                <w:rPr>
                  <w:rFonts w:ascii="Cambria Math" w:hAnsi="Cambria Math" w:eastAsia="仿宋_GB2312" w:cs="Times New Roman"/>
                  <w:sz w:val="24"/>
                  <w:szCs w:val="24"/>
                </w:rPr>
              </m:ctrlPr>
            </m:den>
          </m:f>
          <m:r>
            <m:rPr/>
            <w:rPr>
              <w:rFonts w:ascii="Cambria Math" w:hAnsi="Cambria Math" w:eastAsia="仿宋_GB2312" w:cs="Times New Roman"/>
              <w:sz w:val="24"/>
              <w:szCs w:val="24"/>
            </w:rPr>
            <m:t>×</m:t>
          </m:r>
          <m:r>
            <m:rPr>
              <m:sty m:val="p"/>
            </m:rPr>
            <w:rPr>
              <w:rFonts w:ascii="Cambria Math" w:hAnsi="Cambria Math" w:eastAsia="仿宋_GB2312" w:cs="Times New Roman"/>
              <w:sz w:val="24"/>
              <w:szCs w:val="24"/>
            </w:rPr>
            <m:t>100%</m:t>
          </m:r>
        </m:oMath>
      </m:oMathPara>
    </w:p>
    <w:p>
      <w:pPr>
        <w:adjustRightInd w:val="0"/>
        <w:snapToGrid w:val="0"/>
        <w:spacing w:line="360" w:lineRule="auto"/>
        <w:ind w:firstLine="600" w:firstLineChars="200"/>
        <w:rPr>
          <w:rFonts w:ascii="仿宋_GB2312" w:hAnsi="Times New Roman" w:eastAsia="仿宋_GB2312" w:cs="Times New Roman"/>
          <w:bCs/>
          <w:color w:val="000000"/>
          <w:kern w:val="0"/>
          <w:sz w:val="30"/>
          <w:szCs w:val="30"/>
        </w:rPr>
      </w:pPr>
      <w:r>
        <w:rPr>
          <w:rFonts w:hint="eastAsia" w:ascii="仿宋_GB2312" w:hAnsi="Times New Roman" w:eastAsia="仿宋_GB2312" w:cs="Times New Roman"/>
          <w:bCs/>
          <w:color w:val="000000"/>
          <w:kern w:val="0"/>
          <w:sz w:val="30"/>
          <w:szCs w:val="30"/>
        </w:rPr>
        <w:t>指标值：≥43%。</w:t>
      </w:r>
    </w:p>
    <w:p>
      <w:pPr>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bCs/>
          <w:color w:val="000000"/>
          <w:kern w:val="0"/>
          <w:sz w:val="30"/>
          <w:szCs w:val="30"/>
        </w:rPr>
        <w:t>数据来源：</w:t>
      </w:r>
      <w:r>
        <w:rPr>
          <w:rFonts w:hint="eastAsia" w:ascii="仿宋_GB2312" w:hAnsi="Times New Roman" w:eastAsia="仿宋_GB2312" w:cs="Times New Roman"/>
          <w:color w:val="000000"/>
          <w:sz w:val="30"/>
          <w:szCs w:val="30"/>
        </w:rPr>
        <w:t>农业农村、统计等部门。</w:t>
      </w:r>
    </w:p>
    <w:p>
      <w:pPr>
        <w:tabs>
          <w:tab w:val="left" w:pos="567"/>
        </w:tabs>
        <w:adjustRightInd w:val="0"/>
        <w:snapToGrid w:val="0"/>
        <w:spacing w:line="360" w:lineRule="auto"/>
        <w:ind w:firstLine="602" w:firstLineChars="200"/>
        <w:rPr>
          <w:rFonts w:ascii="仿宋_GB2312" w:hAnsi="Times New Roman" w:eastAsia="仿宋_GB2312" w:cs="Times New Roman"/>
          <w:b/>
          <w:color w:val="000000"/>
          <w:sz w:val="30"/>
          <w:szCs w:val="30"/>
        </w:rPr>
      </w:pPr>
      <w:r>
        <w:rPr>
          <w:rFonts w:hint="eastAsia" w:ascii="仿宋_GB2312" w:hAnsi="Times New Roman" w:eastAsia="仿宋_GB2312" w:cs="Times New Roman"/>
          <w:b/>
          <w:color w:val="000000"/>
          <w:sz w:val="30"/>
          <w:szCs w:val="30"/>
        </w:rPr>
        <w:t>指标27.一般工业固体废物综合利用率提高幅度</w:t>
      </w:r>
    </w:p>
    <w:p>
      <w:pPr>
        <w:adjustRightInd w:val="0"/>
        <w:snapToGrid w:val="0"/>
        <w:spacing w:line="360" w:lineRule="auto"/>
        <w:ind w:firstLine="600" w:firstLineChars="200"/>
        <w:rPr>
          <w:rFonts w:ascii="仿宋_GB2312" w:hAnsi="Times New Roman" w:eastAsia="仿宋_GB2312" w:cs="Times New Roman"/>
          <w:bCs/>
          <w:color w:val="000000"/>
          <w:sz w:val="30"/>
          <w:szCs w:val="30"/>
        </w:rPr>
      </w:pPr>
      <w:r>
        <w:rPr>
          <w:rFonts w:hint="eastAsia" w:ascii="仿宋_GB2312" w:hAnsi="Times New Roman" w:eastAsia="仿宋_GB2312" w:cs="Times New Roman"/>
          <w:bCs/>
          <w:color w:val="000000"/>
          <w:kern w:val="0"/>
          <w:sz w:val="30"/>
          <w:szCs w:val="30"/>
        </w:rPr>
        <w:t>适用范围：</w:t>
      </w:r>
      <w:r>
        <w:rPr>
          <w:rFonts w:hint="eastAsia" w:ascii="仿宋_GB2312" w:hAnsi="Times New Roman" w:eastAsia="仿宋_GB2312" w:cs="Times New Roman"/>
          <w:bCs/>
          <w:color w:val="000000"/>
          <w:sz w:val="30"/>
          <w:szCs w:val="30"/>
        </w:rPr>
        <w:t>地级行政区、县级行政区。</w:t>
      </w:r>
    </w:p>
    <w:p>
      <w:pPr>
        <w:adjustRightInd w:val="0"/>
        <w:snapToGrid w:val="0"/>
        <w:spacing w:line="360" w:lineRule="auto"/>
        <w:ind w:firstLine="600" w:firstLineChars="200"/>
        <w:rPr>
          <w:rFonts w:ascii="仿宋_GB2312" w:hAnsi="Times New Roman" w:eastAsia="仿宋_GB2312" w:cs="Times New Roman"/>
          <w:bCs/>
          <w:color w:val="000000"/>
          <w:kern w:val="0"/>
          <w:sz w:val="30"/>
          <w:szCs w:val="30"/>
        </w:rPr>
      </w:pPr>
      <w:r>
        <w:rPr>
          <w:rFonts w:hint="eastAsia" w:ascii="仿宋_GB2312" w:hAnsi="Times New Roman" w:eastAsia="仿宋_GB2312" w:cs="Times New Roman"/>
          <w:bCs/>
          <w:color w:val="000000"/>
          <w:kern w:val="0"/>
          <w:sz w:val="30"/>
          <w:szCs w:val="30"/>
        </w:rPr>
        <w:t>指标解释：</w:t>
      </w:r>
      <w:r>
        <w:rPr>
          <w:rFonts w:hint="eastAsia" w:ascii="仿宋_GB2312" w:hAnsi="Times New Roman" w:eastAsia="仿宋_GB2312" w:cs="Times New Roman"/>
          <w:color w:val="000000"/>
          <w:sz w:val="30"/>
          <w:szCs w:val="30"/>
        </w:rPr>
        <w:t>指评估年一般工业固体废物综合利用率与基准年相比提高幅度。一般工业固体废物综合利用率指行政区域内一般工业固体废物综合利用量占一般工业固体废物产生量（包括综合利用往年贮存量）的百分率。固体废物综合利用量指企业通过回收、加工、循环、交换等方式，从固体废物中提取或者将其转化为可以利用的资源、能源和其他原材料的固体废物量（包括综合利用往年贮存量）。有关标准参照《一般工业固体废弃物贮存、处置场污染控制标准》（</w:t>
      </w:r>
      <w:r>
        <w:rPr>
          <w:rFonts w:hint="eastAsia" w:ascii="仿宋_GB2312" w:hAnsi="Times New Roman" w:eastAsia="仿宋_GB2312" w:cs="Times New Roman"/>
          <w:color w:val="000000"/>
          <w:sz w:val="30"/>
          <w:szCs w:val="30"/>
          <w:lang w:val="zh-CN"/>
        </w:rPr>
        <w:t>GB 18599-2001</w:t>
      </w:r>
      <w:r>
        <w:rPr>
          <w:rFonts w:hint="eastAsia" w:ascii="仿宋_GB2312" w:hAnsi="Times New Roman" w:eastAsia="仿宋_GB2312" w:cs="Times New Roman"/>
          <w:color w:val="000000"/>
          <w:sz w:val="30"/>
          <w:szCs w:val="30"/>
        </w:rPr>
        <w:t>）执行</w:t>
      </w:r>
      <w:r>
        <w:rPr>
          <w:rFonts w:hint="eastAsia" w:ascii="仿宋_GB2312" w:hAnsi="Times New Roman" w:eastAsia="仿宋_GB2312" w:cs="Times New Roman"/>
          <w:bCs/>
          <w:color w:val="000000"/>
          <w:kern w:val="0"/>
          <w:sz w:val="30"/>
          <w:szCs w:val="30"/>
        </w:rPr>
        <w:t>。</w:t>
      </w:r>
    </w:p>
    <w:p>
      <w:pPr>
        <w:adjustRightInd w:val="0"/>
        <w:snapToGrid w:val="0"/>
        <w:spacing w:line="360" w:lineRule="auto"/>
        <w:jc w:val="center"/>
        <w:rPr>
          <w:rFonts w:ascii="Times New Roman" w:hAnsi="Times New Roman" w:cs="Times New Roman"/>
        </w:rPr>
      </w:pPr>
      <w:r>
        <w:rPr>
          <w:rFonts w:ascii="Times New Roman" w:hAnsi="Times New Roman" w:cs="Times New Roman"/>
        </w:rPr>
        <w:drawing>
          <wp:inline distT="0" distB="0" distL="0" distR="0">
            <wp:extent cx="5274310" cy="434340"/>
            <wp:effectExtent l="0" t="0" r="254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8" cstate="print">
                      <a:extLst>
                        <a:ext uri="{28A0092B-C50C-407E-A947-70E740481C1C}">
                          <a14:useLocalDpi xmlns:a14="http://schemas.microsoft.com/office/drawing/2010/main" val="0"/>
                        </a:ext>
                      </a:extLst>
                    </a:blip>
                    <a:srcRect l="843" r="626"/>
                    <a:stretch>
                      <a:fillRect/>
                    </a:stretch>
                  </pic:blipFill>
                  <pic:spPr>
                    <a:xfrm>
                      <a:off x="0" y="0"/>
                      <a:ext cx="5274310" cy="434689"/>
                    </a:xfrm>
                    <a:prstGeom prst="rect">
                      <a:avLst/>
                    </a:prstGeom>
                    <a:noFill/>
                    <a:ln>
                      <a:noFill/>
                    </a:ln>
                  </pic:spPr>
                </pic:pic>
              </a:graphicData>
            </a:graphic>
          </wp:inline>
        </w:drawing>
      </w:r>
    </w:p>
    <w:p>
      <w:pPr>
        <w:tabs>
          <w:tab w:val="left" w:pos="420"/>
        </w:tabs>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bCs/>
          <w:color w:val="000000"/>
          <w:kern w:val="0"/>
          <w:sz w:val="30"/>
          <w:szCs w:val="30"/>
        </w:rPr>
        <w:t>数据来源：</w:t>
      </w:r>
      <w:r>
        <w:rPr>
          <w:rFonts w:hint="eastAsia" w:ascii="仿宋_GB2312" w:hAnsi="Times New Roman" w:eastAsia="仿宋_GB2312" w:cs="Times New Roman"/>
          <w:color w:val="000000"/>
          <w:sz w:val="30"/>
          <w:szCs w:val="30"/>
        </w:rPr>
        <w:t>生态环境、住房城乡建设、卫生健康、工业和信息化等部门。</w:t>
      </w:r>
    </w:p>
    <w:p>
      <w:pPr>
        <w:tabs>
          <w:tab w:val="left" w:pos="420"/>
        </w:tabs>
        <w:adjustRightInd w:val="0"/>
        <w:snapToGrid w:val="0"/>
        <w:spacing w:line="360" w:lineRule="auto"/>
        <w:ind w:firstLine="602" w:firstLineChars="200"/>
        <w:rPr>
          <w:rFonts w:ascii="仿宋_GB2312" w:hAnsi="Times New Roman" w:eastAsia="仿宋_GB2312" w:cs="Times New Roman"/>
          <w:b/>
          <w:color w:val="000000"/>
          <w:sz w:val="30"/>
          <w:szCs w:val="30"/>
        </w:rPr>
      </w:pPr>
      <w:r>
        <w:rPr>
          <w:rFonts w:hint="eastAsia" w:ascii="仿宋_GB2312" w:hAnsi="Times New Roman" w:eastAsia="仿宋_GB2312" w:cs="Times New Roman"/>
          <w:b/>
          <w:color w:val="000000"/>
          <w:sz w:val="30"/>
          <w:szCs w:val="30"/>
        </w:rPr>
        <w:t>指标31.农村生活污水治理率</w:t>
      </w:r>
    </w:p>
    <w:p>
      <w:pPr>
        <w:adjustRightInd w:val="0"/>
        <w:snapToGrid w:val="0"/>
        <w:spacing w:line="360" w:lineRule="auto"/>
        <w:ind w:firstLine="600" w:firstLineChars="200"/>
        <w:rPr>
          <w:rFonts w:ascii="仿宋_GB2312" w:hAnsi="Times New Roman" w:eastAsia="仿宋_GB2312" w:cs="Times New Roman"/>
          <w:bCs/>
          <w:color w:val="000000"/>
          <w:sz w:val="30"/>
          <w:szCs w:val="30"/>
        </w:rPr>
      </w:pPr>
      <w:r>
        <w:rPr>
          <w:rFonts w:hint="eastAsia" w:ascii="仿宋_GB2312" w:hAnsi="Times New Roman" w:eastAsia="仿宋_GB2312" w:cs="Times New Roman"/>
          <w:bCs/>
          <w:color w:val="000000"/>
          <w:kern w:val="0"/>
          <w:sz w:val="30"/>
          <w:szCs w:val="30"/>
        </w:rPr>
        <w:t>适用范围：</w:t>
      </w:r>
      <w:r>
        <w:rPr>
          <w:rFonts w:hint="eastAsia" w:ascii="仿宋_GB2312" w:hAnsi="Times New Roman" w:eastAsia="仿宋_GB2312" w:cs="Times New Roman"/>
          <w:bCs/>
          <w:color w:val="000000"/>
          <w:sz w:val="30"/>
          <w:szCs w:val="30"/>
        </w:rPr>
        <w:t>地级行政区、县级行政区。</w:t>
      </w:r>
    </w:p>
    <w:p>
      <w:pPr>
        <w:tabs>
          <w:tab w:val="left" w:pos="420"/>
        </w:tabs>
        <w:adjustRightInd w:val="0"/>
        <w:snapToGrid w:val="0"/>
        <w:spacing w:line="360" w:lineRule="auto"/>
        <w:ind w:firstLine="600" w:firstLineChars="200"/>
        <w:rPr>
          <w:rFonts w:ascii="仿宋_GB2312" w:hAnsi="Times New Roman" w:eastAsia="仿宋_GB2312" w:cs="Times New Roman"/>
          <w:color w:val="000000"/>
          <w:kern w:val="0"/>
          <w:sz w:val="30"/>
          <w:szCs w:val="30"/>
        </w:rPr>
      </w:pPr>
      <w:r>
        <w:rPr>
          <w:rFonts w:hint="eastAsia" w:ascii="仿宋_GB2312" w:hAnsi="Times New Roman" w:eastAsia="仿宋_GB2312" w:cs="Times New Roman"/>
          <w:color w:val="000000"/>
          <w:kern w:val="0"/>
          <w:sz w:val="30"/>
          <w:szCs w:val="30"/>
        </w:rPr>
        <w:t>指标解释：指行政区域内生活污水得到处理和资源化利用的行政村数占总行政村数的比例。</w:t>
      </w:r>
    </w:p>
    <w:p>
      <w:pPr>
        <w:tabs>
          <w:tab w:val="left" w:pos="420"/>
        </w:tabs>
        <w:adjustRightInd w:val="0"/>
        <w:snapToGrid w:val="0"/>
        <w:spacing w:line="360" w:lineRule="auto"/>
        <w:jc w:val="center"/>
        <w:rPr>
          <w:rFonts w:ascii="Times New Roman" w:hAnsi="Times New Roman" w:eastAsia="仿宋_GB2312" w:cs="Times New Roman"/>
          <w:color w:val="000000"/>
          <w:kern w:val="0"/>
          <w:sz w:val="24"/>
          <w:szCs w:val="24"/>
        </w:rPr>
      </w:pPr>
      <m:oMathPara>
        <m:oMathParaPr>
          <m:jc m:val="center"/>
        </m:oMathParaPr>
        <m:oMath>
          <m:r>
            <m:rPr>
              <m:sty m:val="p"/>
            </m:rPr>
            <w:rPr>
              <w:rFonts w:hint="eastAsia" w:ascii="Cambria Math" w:hAnsi="Cambria Math" w:eastAsia="仿宋_GB2312" w:cs="Times New Roman"/>
              <w:color w:val="000000"/>
              <w:kern w:val="0"/>
              <w:sz w:val="24"/>
              <w:szCs w:val="24"/>
            </w:rPr>
            <m:t>农村生活污水治理率=</m:t>
          </m:r>
          <m:f>
            <m:fPr>
              <m:ctrlPr>
                <w:rPr>
                  <w:rFonts w:ascii="Cambria Math" w:hAnsi="Cambria Math" w:eastAsia="仿宋_GB2312" w:cs="Times New Roman"/>
                  <w:color w:val="000000"/>
                  <w:kern w:val="0"/>
                  <w:sz w:val="24"/>
                  <w:szCs w:val="24"/>
                </w:rPr>
              </m:ctrlPr>
            </m:fPr>
            <m:num>
              <m:r>
                <m:rPr>
                  <m:sty m:val="p"/>
                </m:rPr>
                <w:rPr>
                  <w:rFonts w:hint="eastAsia" w:ascii="Cambria Math" w:hAnsi="Cambria Math" w:eastAsia="仿宋_GB2312" w:cs="Times New Roman"/>
                  <w:color w:val="000000"/>
                  <w:kern w:val="0"/>
                  <w:sz w:val="24"/>
                  <w:szCs w:val="24"/>
                </w:rPr>
                <m:t>生活污水得到处理和资源化利用的行政村数量（个）</m:t>
              </m:r>
              <m:ctrlPr>
                <w:rPr>
                  <w:rFonts w:ascii="Cambria Math" w:hAnsi="Cambria Math" w:eastAsia="仿宋_GB2312" w:cs="Times New Roman"/>
                  <w:color w:val="000000"/>
                  <w:kern w:val="0"/>
                  <w:sz w:val="24"/>
                  <w:szCs w:val="24"/>
                </w:rPr>
              </m:ctrlPr>
            </m:num>
            <m:den>
              <m:r>
                <m:rPr>
                  <m:sty m:val="p"/>
                </m:rPr>
                <w:rPr>
                  <w:rFonts w:hint="eastAsia" w:ascii="Cambria Math" w:hAnsi="Cambria Math" w:eastAsia="仿宋_GB2312" w:cs="Times New Roman"/>
                  <w:color w:val="000000"/>
                  <w:kern w:val="0"/>
                  <w:sz w:val="24"/>
                  <w:szCs w:val="24"/>
                </w:rPr>
                <m:t>行政村总数（个）</m:t>
              </m:r>
              <m:ctrlPr>
                <w:rPr>
                  <w:rFonts w:ascii="Cambria Math" w:hAnsi="Cambria Math" w:eastAsia="仿宋_GB2312" w:cs="Times New Roman"/>
                  <w:color w:val="000000"/>
                  <w:kern w:val="0"/>
                  <w:sz w:val="24"/>
                  <w:szCs w:val="24"/>
                </w:rPr>
              </m:ctrlPr>
            </m:den>
          </m:f>
        </m:oMath>
      </m:oMathPara>
    </w:p>
    <w:p>
      <w:pPr>
        <w:tabs>
          <w:tab w:val="left" w:pos="420"/>
        </w:tabs>
        <w:adjustRightInd w:val="0"/>
        <w:snapToGrid w:val="0"/>
        <w:spacing w:line="360" w:lineRule="auto"/>
        <w:ind w:firstLine="600" w:firstLineChars="200"/>
        <w:rPr>
          <w:rFonts w:ascii="仿宋_GB2312" w:hAnsi="Times New Roman" w:eastAsia="仿宋_GB2312" w:cs="Times New Roman"/>
          <w:bCs/>
          <w:color w:val="000000"/>
          <w:kern w:val="0"/>
          <w:sz w:val="30"/>
          <w:szCs w:val="30"/>
        </w:rPr>
      </w:pPr>
      <w:r>
        <w:rPr>
          <w:rFonts w:hint="eastAsia" w:ascii="仿宋_GB2312" w:hAnsi="Times New Roman" w:eastAsia="仿宋_GB2312" w:cs="Times New Roman"/>
          <w:bCs/>
          <w:color w:val="000000"/>
          <w:kern w:val="0"/>
          <w:sz w:val="30"/>
          <w:szCs w:val="30"/>
        </w:rPr>
        <w:t>指标值：≥50%。</w:t>
      </w:r>
    </w:p>
    <w:p>
      <w:pPr>
        <w:tabs>
          <w:tab w:val="left" w:pos="420"/>
        </w:tabs>
        <w:adjustRightInd w:val="0"/>
        <w:snapToGrid w:val="0"/>
        <w:spacing w:line="360" w:lineRule="auto"/>
        <w:ind w:firstLine="600" w:firstLineChars="200"/>
        <w:rPr>
          <w:rFonts w:ascii="仿宋_GB2312" w:hAnsi="Times New Roman" w:eastAsia="仿宋_GB2312" w:cs="Times New Roman"/>
          <w:b/>
          <w:color w:val="000000"/>
          <w:sz w:val="30"/>
          <w:szCs w:val="30"/>
        </w:rPr>
      </w:pPr>
      <w:r>
        <w:rPr>
          <w:rFonts w:hint="eastAsia" w:ascii="仿宋_GB2312" w:hAnsi="Times New Roman" w:eastAsia="仿宋_GB2312" w:cs="Times New Roman"/>
          <w:bCs/>
          <w:color w:val="000000"/>
          <w:kern w:val="0"/>
          <w:sz w:val="30"/>
          <w:szCs w:val="30"/>
        </w:rPr>
        <w:t>数据来源：住房城乡建设、水利、生态环境</w:t>
      </w:r>
      <w:r>
        <w:rPr>
          <w:rFonts w:hint="eastAsia" w:ascii="仿宋_GB2312" w:hAnsi="Times New Roman" w:eastAsia="仿宋_GB2312" w:cs="Times New Roman"/>
          <w:color w:val="000000"/>
          <w:sz w:val="30"/>
          <w:szCs w:val="30"/>
        </w:rPr>
        <w:t>等部门。</w:t>
      </w:r>
    </w:p>
    <w:p>
      <w:pPr>
        <w:tabs>
          <w:tab w:val="left" w:pos="420"/>
        </w:tabs>
        <w:adjustRightInd w:val="0"/>
        <w:snapToGrid w:val="0"/>
        <w:spacing w:line="360" w:lineRule="auto"/>
        <w:ind w:firstLine="602" w:firstLineChars="200"/>
        <w:rPr>
          <w:rFonts w:ascii="仿宋_GB2312" w:hAnsi="Times New Roman" w:eastAsia="仿宋_GB2312" w:cs="Times New Roman"/>
          <w:b/>
          <w:color w:val="000000"/>
          <w:sz w:val="30"/>
          <w:szCs w:val="30"/>
        </w:rPr>
      </w:pPr>
      <w:r>
        <w:rPr>
          <w:rFonts w:hint="eastAsia" w:ascii="仿宋_GB2312" w:hAnsi="Times New Roman" w:eastAsia="仿宋_GB2312" w:cs="Times New Roman"/>
          <w:b/>
          <w:color w:val="000000"/>
          <w:sz w:val="30"/>
          <w:szCs w:val="30"/>
        </w:rPr>
        <w:t>指标33.农村生活垃圾无害化处理村占比</w:t>
      </w:r>
    </w:p>
    <w:p>
      <w:pPr>
        <w:adjustRightInd w:val="0"/>
        <w:snapToGrid w:val="0"/>
        <w:spacing w:line="360" w:lineRule="auto"/>
        <w:ind w:firstLine="600" w:firstLineChars="200"/>
        <w:rPr>
          <w:rFonts w:ascii="仿宋_GB2312" w:hAnsi="Times New Roman" w:eastAsia="仿宋_GB2312" w:cs="Times New Roman"/>
          <w:bCs/>
          <w:color w:val="000000"/>
          <w:sz w:val="30"/>
          <w:szCs w:val="30"/>
        </w:rPr>
      </w:pPr>
      <w:r>
        <w:rPr>
          <w:rFonts w:hint="eastAsia" w:ascii="仿宋_GB2312" w:hAnsi="Times New Roman" w:eastAsia="仿宋_GB2312" w:cs="Times New Roman"/>
          <w:bCs/>
          <w:color w:val="000000"/>
          <w:kern w:val="0"/>
          <w:sz w:val="30"/>
          <w:szCs w:val="30"/>
        </w:rPr>
        <w:t>适用范围：</w:t>
      </w:r>
      <w:r>
        <w:rPr>
          <w:rFonts w:hint="eastAsia" w:ascii="仿宋_GB2312" w:hAnsi="Times New Roman" w:eastAsia="仿宋_GB2312" w:cs="Times New Roman"/>
          <w:bCs/>
          <w:color w:val="000000"/>
          <w:sz w:val="30"/>
          <w:szCs w:val="30"/>
        </w:rPr>
        <w:t>地级行政区、县级行政区。</w:t>
      </w:r>
    </w:p>
    <w:p>
      <w:pPr>
        <w:tabs>
          <w:tab w:val="left" w:pos="420"/>
        </w:tabs>
        <w:adjustRightInd w:val="0"/>
        <w:snapToGrid w:val="0"/>
        <w:spacing w:line="360" w:lineRule="auto"/>
        <w:ind w:firstLine="600" w:firstLineChars="200"/>
        <w:rPr>
          <w:rFonts w:ascii="仿宋_GB2312" w:hAnsi="Times New Roman" w:eastAsia="仿宋_GB2312" w:cs="Times New Roman"/>
          <w:color w:val="000000"/>
          <w:kern w:val="0"/>
          <w:sz w:val="30"/>
          <w:szCs w:val="30"/>
        </w:rPr>
      </w:pPr>
      <w:r>
        <w:rPr>
          <w:rFonts w:hint="eastAsia" w:ascii="仿宋_GB2312" w:hAnsi="Times New Roman" w:eastAsia="仿宋_GB2312" w:cs="Times New Roman"/>
          <w:color w:val="000000"/>
          <w:kern w:val="0"/>
          <w:sz w:val="30"/>
          <w:szCs w:val="30"/>
        </w:rPr>
        <w:t>指标解释：指行政区域内实现农村生活垃圾无害化处理的行政村占总行政村数的比例。</w:t>
      </w:r>
    </w:p>
    <w:p>
      <w:pPr>
        <w:tabs>
          <w:tab w:val="left" w:pos="420"/>
        </w:tabs>
        <w:adjustRightInd w:val="0"/>
        <w:snapToGrid w:val="0"/>
        <w:spacing w:line="360" w:lineRule="auto"/>
        <w:jc w:val="center"/>
        <w:rPr>
          <w:rFonts w:ascii="Times New Roman" w:hAnsi="Times New Roman" w:eastAsia="仿宋_GB2312" w:cs="Times New Roman"/>
          <w:color w:val="000000"/>
          <w:kern w:val="0"/>
          <w:sz w:val="22"/>
        </w:rPr>
      </w:pPr>
      <m:oMathPara>
        <m:oMathParaPr>
          <m:jc m:val="center"/>
        </m:oMathParaPr>
        <m:oMath>
          <m:r>
            <m:rPr>
              <m:sty m:val="p"/>
            </m:rPr>
            <w:rPr>
              <w:rFonts w:hint="eastAsia" w:ascii="Cambria Math" w:hAnsi="Cambria Math" w:eastAsia="仿宋_GB2312" w:cs="Times New Roman"/>
              <w:color w:val="000000"/>
              <w:kern w:val="0"/>
              <w:sz w:val="22"/>
            </w:rPr>
            <m:t>农村生活垃圾无害化处理村占比=</m:t>
          </m:r>
          <m:f>
            <m:fPr>
              <m:ctrlPr>
                <w:rPr>
                  <w:rFonts w:ascii="Cambria Math" w:hAnsi="Cambria Math" w:eastAsia="仿宋_GB2312" w:cs="Times New Roman"/>
                  <w:color w:val="000000"/>
                  <w:kern w:val="0"/>
                  <w:sz w:val="22"/>
                </w:rPr>
              </m:ctrlPr>
            </m:fPr>
            <m:num>
              <m:r>
                <m:rPr>
                  <m:sty m:val="p"/>
                </m:rPr>
                <w:rPr>
                  <w:rFonts w:hint="eastAsia" w:ascii="Cambria Math" w:hAnsi="Cambria Math" w:eastAsia="仿宋_GB2312" w:cs="Times New Roman"/>
                  <w:color w:val="000000"/>
                  <w:kern w:val="0"/>
                  <w:sz w:val="22"/>
                </w:rPr>
                <m:t>实现农村生活垃圾无害化处理的行政村数量（个）</m:t>
              </m:r>
              <m:ctrlPr>
                <w:rPr>
                  <w:rFonts w:ascii="Cambria Math" w:hAnsi="Cambria Math" w:eastAsia="仿宋_GB2312" w:cs="Times New Roman"/>
                  <w:color w:val="000000"/>
                  <w:kern w:val="0"/>
                  <w:sz w:val="22"/>
                </w:rPr>
              </m:ctrlPr>
            </m:num>
            <m:den>
              <m:r>
                <m:rPr>
                  <m:sty m:val="p"/>
                </m:rPr>
                <w:rPr>
                  <w:rFonts w:hint="eastAsia" w:ascii="Cambria Math" w:hAnsi="Cambria Math" w:eastAsia="仿宋_GB2312" w:cs="Times New Roman"/>
                  <w:color w:val="000000"/>
                  <w:kern w:val="0"/>
                  <w:sz w:val="22"/>
                </w:rPr>
                <m:t>行政村总数（个）</m:t>
              </m:r>
              <m:ctrlPr>
                <w:rPr>
                  <w:rFonts w:ascii="Cambria Math" w:hAnsi="Cambria Math" w:eastAsia="仿宋_GB2312" w:cs="Times New Roman"/>
                  <w:color w:val="000000"/>
                  <w:kern w:val="0"/>
                  <w:sz w:val="22"/>
                </w:rPr>
              </m:ctrlPr>
            </m:den>
          </m:f>
        </m:oMath>
      </m:oMathPara>
    </w:p>
    <w:p>
      <w:pPr>
        <w:tabs>
          <w:tab w:val="left" w:pos="420"/>
        </w:tabs>
        <w:adjustRightInd w:val="0"/>
        <w:snapToGrid w:val="0"/>
        <w:spacing w:line="360" w:lineRule="auto"/>
        <w:ind w:firstLine="600" w:firstLineChars="200"/>
        <w:rPr>
          <w:rFonts w:ascii="仿宋_GB2312" w:hAnsi="Times New Roman" w:eastAsia="仿宋_GB2312" w:cs="Times New Roman"/>
          <w:bCs/>
          <w:color w:val="000000"/>
          <w:kern w:val="0"/>
          <w:sz w:val="30"/>
          <w:szCs w:val="30"/>
        </w:rPr>
      </w:pPr>
      <w:r>
        <w:rPr>
          <w:rFonts w:hint="eastAsia" w:ascii="仿宋_GB2312" w:hAnsi="Times New Roman" w:eastAsia="仿宋_GB2312" w:cs="Times New Roman"/>
          <w:bCs/>
          <w:color w:val="000000"/>
          <w:kern w:val="0"/>
          <w:sz w:val="30"/>
          <w:szCs w:val="30"/>
        </w:rPr>
        <w:t>指标值：≥80%。</w:t>
      </w:r>
    </w:p>
    <w:p>
      <w:pPr>
        <w:tabs>
          <w:tab w:val="left" w:pos="420"/>
        </w:tabs>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bCs/>
          <w:color w:val="000000"/>
          <w:kern w:val="0"/>
          <w:sz w:val="30"/>
          <w:szCs w:val="30"/>
        </w:rPr>
        <w:t>数据来源：住房城乡建设、水利、生态环境</w:t>
      </w:r>
      <w:r>
        <w:rPr>
          <w:rFonts w:hint="eastAsia" w:ascii="仿宋_GB2312" w:hAnsi="Times New Roman" w:eastAsia="仿宋_GB2312" w:cs="Times New Roman"/>
          <w:color w:val="000000"/>
          <w:sz w:val="30"/>
          <w:szCs w:val="30"/>
        </w:rPr>
        <w:t>等部门</w:t>
      </w:r>
    </w:p>
    <w:p>
      <w:pPr>
        <w:tabs>
          <w:tab w:val="left" w:pos="420"/>
        </w:tabs>
        <w:adjustRightInd w:val="0"/>
        <w:snapToGrid w:val="0"/>
        <w:spacing w:line="360" w:lineRule="auto"/>
        <w:ind w:firstLine="600" w:firstLineChars="200"/>
        <w:rPr>
          <w:rFonts w:ascii="Times New Roman" w:hAnsi="Times New Roman" w:eastAsia="仿宋_GB2312" w:cs="Times New Roman"/>
          <w:color w:val="000000"/>
          <w:sz w:val="30"/>
          <w:szCs w:val="30"/>
        </w:rPr>
      </w:pPr>
    </w:p>
    <w:p>
      <w:pPr>
        <w:tabs>
          <w:tab w:val="left" w:pos="420"/>
        </w:tabs>
        <w:adjustRightInd w:val="0"/>
        <w:snapToGrid w:val="0"/>
        <w:spacing w:line="360" w:lineRule="auto"/>
        <w:ind w:firstLine="600" w:firstLineChars="200"/>
        <w:rPr>
          <w:rFonts w:ascii="Times New Roman" w:hAnsi="Times New Roman" w:eastAsia="仿宋_GB2312" w:cs="Times New Roman"/>
          <w:color w:val="000000"/>
          <w:sz w:val="30"/>
          <w:szCs w:val="30"/>
        </w:rPr>
      </w:pPr>
    </w:p>
    <w:p>
      <w:pPr>
        <w:tabs>
          <w:tab w:val="left" w:pos="420"/>
        </w:tabs>
        <w:adjustRightInd w:val="0"/>
        <w:snapToGrid w:val="0"/>
        <w:spacing w:line="360" w:lineRule="auto"/>
        <w:ind w:firstLine="600" w:firstLineChars="200"/>
        <w:rPr>
          <w:rFonts w:ascii="Times New Roman" w:hAnsi="Times New Roman" w:eastAsia="仿宋_GB2312" w:cs="Times New Roman"/>
          <w:color w:val="000000"/>
          <w:sz w:val="30"/>
          <w:szCs w:val="30"/>
        </w:rPr>
      </w:pPr>
    </w:p>
    <w:p>
      <w:pPr>
        <w:tabs>
          <w:tab w:val="left" w:pos="420"/>
        </w:tabs>
        <w:adjustRightInd w:val="0"/>
        <w:snapToGrid w:val="0"/>
        <w:spacing w:line="360" w:lineRule="auto"/>
        <w:ind w:firstLine="600" w:firstLineChars="200"/>
        <w:rPr>
          <w:rFonts w:ascii="Times New Roman" w:hAnsi="Times New Roman" w:eastAsia="仿宋_GB2312" w:cs="Times New Roman"/>
          <w:color w:val="000000"/>
          <w:sz w:val="30"/>
          <w:szCs w:val="30"/>
        </w:rPr>
      </w:pPr>
    </w:p>
    <w:p>
      <w:pPr>
        <w:tabs>
          <w:tab w:val="left" w:pos="420"/>
        </w:tabs>
        <w:adjustRightInd w:val="0"/>
        <w:snapToGrid w:val="0"/>
        <w:spacing w:line="360" w:lineRule="auto"/>
        <w:ind w:firstLine="600" w:firstLineChars="200"/>
        <w:rPr>
          <w:rFonts w:ascii="Times New Roman" w:hAnsi="Times New Roman" w:eastAsia="仿宋_GB2312" w:cs="Times New Roman"/>
          <w:color w:val="000000"/>
          <w:sz w:val="30"/>
          <w:szCs w:val="30"/>
        </w:rPr>
      </w:pPr>
    </w:p>
    <w:p>
      <w:pPr>
        <w:tabs>
          <w:tab w:val="left" w:pos="420"/>
        </w:tabs>
        <w:adjustRightInd w:val="0"/>
        <w:snapToGrid w:val="0"/>
        <w:spacing w:line="360" w:lineRule="auto"/>
        <w:ind w:firstLine="600" w:firstLineChars="200"/>
        <w:rPr>
          <w:rFonts w:ascii="Times New Roman" w:hAnsi="Times New Roman" w:eastAsia="仿宋_GB2312" w:cs="Times New Roman"/>
          <w:color w:val="000000"/>
          <w:sz w:val="30"/>
          <w:szCs w:val="30"/>
        </w:rPr>
      </w:pPr>
    </w:p>
    <w:p>
      <w:pPr>
        <w:tabs>
          <w:tab w:val="left" w:pos="420"/>
        </w:tabs>
        <w:adjustRightInd w:val="0"/>
        <w:snapToGrid w:val="0"/>
        <w:spacing w:line="360" w:lineRule="auto"/>
        <w:ind w:firstLine="600" w:firstLineChars="200"/>
        <w:rPr>
          <w:rFonts w:ascii="Times New Roman" w:hAnsi="Times New Roman" w:eastAsia="仿宋_GB2312" w:cs="Times New Roman"/>
          <w:color w:val="000000"/>
          <w:sz w:val="30"/>
          <w:szCs w:val="30"/>
        </w:rPr>
      </w:pPr>
    </w:p>
    <w:p>
      <w:pPr>
        <w:jc w:val="left"/>
        <w:rPr>
          <w:rFonts w:ascii="Times New Roman" w:hAnsi="Times New Roman" w:eastAsia="仿宋_GB2312" w:cs="Times New Roman"/>
          <w:sz w:val="32"/>
          <w:szCs w:val="32"/>
        </w:rPr>
      </w:pPr>
    </w:p>
    <w:sectPr>
      <w:footerReference r:id="rId3" w:type="default"/>
      <w:footerReference r:id="rId4" w:type="even"/>
      <w:pgSz w:w="11906" w:h="16838"/>
      <w:pgMar w:top="1701" w:right="1531" w:bottom="1701" w:left="1531" w:header="851" w:footer="1077" w:gutter="0"/>
      <w:pgNumType w:start="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heme="majorEastAsia" w:hAnsiTheme="majorEastAsia" w:eastAsiaTheme="majorEastAsia"/>
        <w:sz w:val="28"/>
        <w:szCs w:val="28"/>
      </w:rPr>
    </w:pPr>
    <w:r>
      <w:rPr>
        <w:rStyle w:val="9"/>
        <w:rFonts w:hint="eastAsia" w:asciiTheme="majorEastAsia" w:hAnsiTheme="majorEastAsia" w:eastAsiaTheme="majorEastAsia"/>
        <w:sz w:val="28"/>
        <w:szCs w:val="28"/>
      </w:rPr>
      <w:t>—</w:t>
    </w:r>
    <w:r>
      <w:rPr>
        <w:rStyle w:val="9"/>
        <w:rFonts w:hint="eastAsia" w:asciiTheme="majorEastAsia" w:hAnsiTheme="majorEastAsia" w:eastAsiaTheme="majorEastAsia"/>
        <w:sz w:val="20"/>
        <w:szCs w:val="20"/>
      </w:rPr>
      <w:t xml:space="preserve">  </w:t>
    </w:r>
    <w:r>
      <w:rPr>
        <w:rStyle w:val="9"/>
        <w:rFonts w:asciiTheme="majorEastAsia" w:hAnsiTheme="majorEastAsia" w:eastAsiaTheme="majorEastAsia"/>
        <w:sz w:val="26"/>
        <w:szCs w:val="26"/>
      </w:rPr>
      <w:fldChar w:fldCharType="begin"/>
    </w:r>
    <w:r>
      <w:rPr>
        <w:rStyle w:val="9"/>
        <w:rFonts w:asciiTheme="majorEastAsia" w:hAnsiTheme="majorEastAsia" w:eastAsiaTheme="majorEastAsia"/>
        <w:sz w:val="26"/>
        <w:szCs w:val="26"/>
      </w:rPr>
      <w:instrText xml:space="preserve">PAGE  </w:instrText>
    </w:r>
    <w:r>
      <w:rPr>
        <w:rStyle w:val="9"/>
        <w:rFonts w:asciiTheme="majorEastAsia" w:hAnsiTheme="majorEastAsia" w:eastAsiaTheme="majorEastAsia"/>
        <w:sz w:val="26"/>
        <w:szCs w:val="26"/>
      </w:rPr>
      <w:fldChar w:fldCharType="separate"/>
    </w:r>
    <w:r>
      <w:rPr>
        <w:rStyle w:val="9"/>
        <w:rFonts w:asciiTheme="majorEastAsia" w:hAnsiTheme="majorEastAsia" w:eastAsiaTheme="majorEastAsia"/>
        <w:sz w:val="26"/>
        <w:szCs w:val="26"/>
      </w:rPr>
      <w:t>18</w:t>
    </w:r>
    <w:r>
      <w:rPr>
        <w:rStyle w:val="9"/>
        <w:rFonts w:asciiTheme="majorEastAsia" w:hAnsiTheme="majorEastAsia" w:eastAsiaTheme="majorEastAsia"/>
        <w:sz w:val="26"/>
        <w:szCs w:val="26"/>
      </w:rPr>
      <w:fldChar w:fldCharType="end"/>
    </w:r>
    <w:r>
      <w:rPr>
        <w:rStyle w:val="9"/>
        <w:rFonts w:hint="eastAsia" w:asciiTheme="majorEastAsia" w:hAnsiTheme="majorEastAsia" w:eastAsiaTheme="majorEastAsia"/>
        <w:sz w:val="20"/>
        <w:szCs w:val="20"/>
      </w:rPr>
      <w:t xml:space="preserve">  </w:t>
    </w:r>
    <w:r>
      <w:rPr>
        <w:rStyle w:val="9"/>
        <w:rFonts w:hint="eastAsia" w:asciiTheme="majorEastAsia" w:hAnsiTheme="majorEastAsia" w:eastAsiaTheme="major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ZiZDY3YjBiZGE5N2JkNzZlNGU1M2QwODRiNDFjMTEifQ=="/>
  </w:docVars>
  <w:rsids>
    <w:rsidRoot w:val="00264937"/>
    <w:rsid w:val="00000EAA"/>
    <w:rsid w:val="00014243"/>
    <w:rsid w:val="000462BE"/>
    <w:rsid w:val="000D032F"/>
    <w:rsid w:val="00122D14"/>
    <w:rsid w:val="001A5FD8"/>
    <w:rsid w:val="001B07E8"/>
    <w:rsid w:val="001C77FF"/>
    <w:rsid w:val="001D7628"/>
    <w:rsid w:val="0020579D"/>
    <w:rsid w:val="0020746A"/>
    <w:rsid w:val="00256B4B"/>
    <w:rsid w:val="00264937"/>
    <w:rsid w:val="00277524"/>
    <w:rsid w:val="002D1E3E"/>
    <w:rsid w:val="00321357"/>
    <w:rsid w:val="00356418"/>
    <w:rsid w:val="003C7283"/>
    <w:rsid w:val="003D1990"/>
    <w:rsid w:val="003F686B"/>
    <w:rsid w:val="00456777"/>
    <w:rsid w:val="00460C2A"/>
    <w:rsid w:val="004A00DD"/>
    <w:rsid w:val="004D506F"/>
    <w:rsid w:val="004F6588"/>
    <w:rsid w:val="00536604"/>
    <w:rsid w:val="00537197"/>
    <w:rsid w:val="00561DA0"/>
    <w:rsid w:val="005B46BD"/>
    <w:rsid w:val="005D0FAF"/>
    <w:rsid w:val="005E7B84"/>
    <w:rsid w:val="005F699A"/>
    <w:rsid w:val="006002E5"/>
    <w:rsid w:val="00613D6B"/>
    <w:rsid w:val="0062727E"/>
    <w:rsid w:val="0064048A"/>
    <w:rsid w:val="006407FE"/>
    <w:rsid w:val="006958D7"/>
    <w:rsid w:val="00704E23"/>
    <w:rsid w:val="007330CE"/>
    <w:rsid w:val="007B26A9"/>
    <w:rsid w:val="007E3841"/>
    <w:rsid w:val="00814BB1"/>
    <w:rsid w:val="00832F26"/>
    <w:rsid w:val="00836DEC"/>
    <w:rsid w:val="00843C17"/>
    <w:rsid w:val="008542D8"/>
    <w:rsid w:val="008642F7"/>
    <w:rsid w:val="008C1AD3"/>
    <w:rsid w:val="008F0964"/>
    <w:rsid w:val="00903DA9"/>
    <w:rsid w:val="009549CC"/>
    <w:rsid w:val="009771AE"/>
    <w:rsid w:val="009869C2"/>
    <w:rsid w:val="00997562"/>
    <w:rsid w:val="009A3A36"/>
    <w:rsid w:val="009E7127"/>
    <w:rsid w:val="009F4958"/>
    <w:rsid w:val="00A10034"/>
    <w:rsid w:val="00A35759"/>
    <w:rsid w:val="00A445D0"/>
    <w:rsid w:val="00A54689"/>
    <w:rsid w:val="00A7038F"/>
    <w:rsid w:val="00A80523"/>
    <w:rsid w:val="00A96716"/>
    <w:rsid w:val="00AC5197"/>
    <w:rsid w:val="00AD3004"/>
    <w:rsid w:val="00AE7E9B"/>
    <w:rsid w:val="00B07354"/>
    <w:rsid w:val="00B13472"/>
    <w:rsid w:val="00B31314"/>
    <w:rsid w:val="00C15778"/>
    <w:rsid w:val="00CA6452"/>
    <w:rsid w:val="00CC1350"/>
    <w:rsid w:val="00CC4E6E"/>
    <w:rsid w:val="00CC6E0A"/>
    <w:rsid w:val="00D06006"/>
    <w:rsid w:val="00D15DC9"/>
    <w:rsid w:val="00D20225"/>
    <w:rsid w:val="00D44B53"/>
    <w:rsid w:val="00D4527D"/>
    <w:rsid w:val="00D54E6A"/>
    <w:rsid w:val="00D70C68"/>
    <w:rsid w:val="00DA32A5"/>
    <w:rsid w:val="00DB01F9"/>
    <w:rsid w:val="00DB5AF0"/>
    <w:rsid w:val="00DC3096"/>
    <w:rsid w:val="00E534F6"/>
    <w:rsid w:val="00EB1AFC"/>
    <w:rsid w:val="00F24B4B"/>
    <w:rsid w:val="00F52937"/>
    <w:rsid w:val="00F62422"/>
    <w:rsid w:val="00F773E6"/>
    <w:rsid w:val="00F91850"/>
    <w:rsid w:val="00FC795E"/>
    <w:rsid w:val="00FD482E"/>
    <w:rsid w:val="00FF09E7"/>
    <w:rsid w:val="00FF2660"/>
    <w:rsid w:val="026B74B9"/>
    <w:rsid w:val="03184322"/>
    <w:rsid w:val="04482DD5"/>
    <w:rsid w:val="069258A7"/>
    <w:rsid w:val="0B2B4412"/>
    <w:rsid w:val="14697A33"/>
    <w:rsid w:val="17230C6B"/>
    <w:rsid w:val="1B015A6F"/>
    <w:rsid w:val="1FCD7886"/>
    <w:rsid w:val="20663311"/>
    <w:rsid w:val="30EF010F"/>
    <w:rsid w:val="3A0447F3"/>
    <w:rsid w:val="61B51FDB"/>
    <w:rsid w:val="6A445A97"/>
    <w:rsid w:val="7B240B18"/>
    <w:rsid w:val="7C5A2B72"/>
    <w:rsid w:val="7D3A6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4"/>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page number"/>
    <w:basedOn w:val="8"/>
    <w:semiHidden/>
    <w:unhideWhenUsed/>
    <w:uiPriority w:val="99"/>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3"/>
    <w:qFormat/>
    <w:uiPriority w:val="99"/>
    <w:rPr>
      <w:sz w:val="18"/>
      <w:szCs w:val="18"/>
    </w:rPr>
  </w:style>
  <w:style w:type="character" w:styleId="15">
    <w:name w:val="Placeholder Text"/>
    <w:basedOn w:val="8"/>
    <w:semiHidden/>
    <w:qFormat/>
    <w:uiPriority w:val="99"/>
    <w:rPr>
      <w:color w:val="808080"/>
    </w:rPr>
  </w:style>
  <w:style w:type="character" w:customStyle="1" w:styleId="16">
    <w:name w:val="批注文字 Char"/>
    <w:basedOn w:val="8"/>
    <w:link w:val="2"/>
    <w:qFormat/>
    <w:uiPriority w:val="99"/>
    <w:rPr>
      <w:kern w:val="2"/>
      <w:sz w:val="21"/>
      <w:szCs w:val="22"/>
    </w:rPr>
  </w:style>
  <w:style w:type="character" w:customStyle="1" w:styleId="17">
    <w:name w:val="批注主题 Char"/>
    <w:basedOn w:val="16"/>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2728</Words>
  <Characters>2909</Characters>
  <Lines>24</Lines>
  <Paragraphs>6</Paragraphs>
  <TotalTime>14</TotalTime>
  <ScaleCrop>false</ScaleCrop>
  <LinksUpToDate>false</LinksUpToDate>
  <CharactersWithSpaces>2914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2021-07-26T01:23:00Z</dcterms:created>
  <dc:creator>user</dc:creator>
  <cp:lastModifiedBy>吉</cp:lastModifiedBy>
  <dcterms:modified xsi:type="dcterms:W3CDTF">2022-08-05T05:20:33Z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97fe6761f57c46b39918656783b86a02</vt:lpwstr>
  </property>
  <property fmtid="{D5CDD505-2E9C-101B-9397-08002B2CF9AE}" pid="3" name="KSOProductBuildVer">
    <vt:lpwstr>2052-11.1.0.11875</vt:lpwstr>
  </property>
</Properties>
</file>